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5AA" w:rsidRDefault="004945AA" w:rsidP="00DE64DB">
      <w:pPr>
        <w:spacing w:after="0" w:line="240" w:lineRule="auto"/>
        <w:rPr>
          <w:rFonts w:ascii="Cambria" w:hAnsi="Cambria"/>
          <w:sz w:val="20"/>
        </w:rPr>
      </w:pPr>
      <w:bookmarkStart w:id="0" w:name="_GoBack"/>
      <w:bookmarkEnd w:id="0"/>
    </w:p>
    <w:p w:rsidR="00D329CB" w:rsidRPr="0006264A" w:rsidRDefault="00D329CB" w:rsidP="0006264A">
      <w:pPr>
        <w:pStyle w:val="NoSpacing"/>
        <w:rPr>
          <w:rFonts w:ascii="Cambria" w:hAnsi="Cambria"/>
          <w:b/>
          <w:sz w:val="24"/>
          <w:szCs w:val="20"/>
        </w:rPr>
      </w:pPr>
      <w:r w:rsidRPr="0006264A">
        <w:rPr>
          <w:rFonts w:ascii="Cambria" w:hAnsi="Cambria"/>
          <w:b/>
          <w:sz w:val="24"/>
          <w:szCs w:val="20"/>
        </w:rPr>
        <w:t>UPUTSTVO SARADNICIMA</w:t>
      </w:r>
    </w:p>
    <w:p w:rsidR="00E644E6" w:rsidRPr="00D329CB" w:rsidRDefault="00E644E6" w:rsidP="00DE64DB">
      <w:pPr>
        <w:spacing w:after="0" w:line="240" w:lineRule="auto"/>
        <w:rPr>
          <w:rFonts w:ascii="Cambria" w:hAnsi="Cambria"/>
          <w:sz w:val="20"/>
        </w:rPr>
      </w:pPr>
    </w:p>
    <w:p w:rsidR="00D329CB" w:rsidRDefault="00D329CB" w:rsidP="00D329CB">
      <w:pPr>
        <w:spacing w:after="0" w:line="240" w:lineRule="auto"/>
        <w:ind w:firstLine="720"/>
        <w:jc w:val="both"/>
        <w:rPr>
          <w:rFonts w:ascii="Cambria" w:hAnsi="Cambria" w:cs="Times New Roman"/>
          <w:i/>
          <w:sz w:val="20"/>
          <w:szCs w:val="20"/>
        </w:rPr>
        <w:sectPr w:rsidR="00D329CB" w:rsidSect="00BD291A">
          <w:footerReference w:type="even" r:id="rId8"/>
          <w:headerReference w:type="first" r:id="rId9"/>
          <w:footerReference w:type="first" r:id="rId10"/>
          <w:type w:val="continuous"/>
          <w:pgSz w:w="11907" w:h="16840" w:code="9"/>
          <w:pgMar w:top="2268" w:right="1418" w:bottom="1701" w:left="1418" w:header="720" w:footer="851" w:gutter="0"/>
          <w:pgNumType w:start="137"/>
          <w:cols w:space="720"/>
          <w:docGrid w:linePitch="360"/>
        </w:sectPr>
      </w:pP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i/>
          <w:sz w:val="20"/>
          <w:szCs w:val="20"/>
        </w:rPr>
        <w:lastRenderedPageBreak/>
        <w:t>Timočki medicinski glasnik</w:t>
      </w:r>
      <w:r w:rsidRPr="00D329CB">
        <w:rPr>
          <w:rFonts w:ascii="Cambria" w:hAnsi="Cambria" w:cs="Times New Roman"/>
          <w:sz w:val="20"/>
          <w:szCs w:val="20"/>
        </w:rPr>
        <w:t xml:space="preserve"> objavljuje prethodno neobjavljene naučne i stručne radove iz svih oblasti medicine i srodnih grana. Za objavljivanje se primaju originalni radovi, prikazi bolesnika, pregledni članci, članci iz istorije medicine i zdravstvene kulture, prikazi knjiga i časopisa, pisma uredništvu i druge medicinske informacije. Autori predlažu kategoriju svog rada.</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Rukopise treba pripremiti u skladu sa vankuverskim pravilima:  </w:t>
      </w:r>
      <w:r w:rsidRPr="00D329CB">
        <w:rPr>
          <w:rFonts w:ascii="Cambria" w:hAnsi="Cambria" w:cs="Times New Roman"/>
          <w:i/>
          <w:sz w:val="20"/>
          <w:szCs w:val="20"/>
        </w:rPr>
        <w:t>UNIFORM REQUIREMENTS FOR MANUSCRIPTS SUBMITTED TO BIOMEDICAL JOURNALS</w:t>
      </w:r>
      <w:r w:rsidRPr="00D329CB">
        <w:rPr>
          <w:rFonts w:ascii="Cambria" w:hAnsi="Cambria" w:cs="Times New Roman"/>
          <w:sz w:val="20"/>
          <w:szCs w:val="20"/>
        </w:rPr>
        <w:t xml:space="preserve">, koje je preporučio ICMJE (International Committee of Medical Journal Editors </w:t>
      </w:r>
      <w:r w:rsidRPr="00D329CB">
        <w:rPr>
          <w:rFonts w:ascii="Cambria" w:hAnsi="Cambria" w:cs="Times New Roman"/>
          <w:sz w:val="20"/>
          <w:szCs w:val="20"/>
          <w:lang w:val="sr-Latn-CS"/>
        </w:rPr>
        <w:t>–</w:t>
      </w:r>
      <w:r w:rsidRPr="00D329CB">
        <w:rPr>
          <w:rFonts w:ascii="Cambria" w:hAnsi="Cambria" w:cs="Times New Roman"/>
          <w:sz w:val="20"/>
          <w:szCs w:val="20"/>
        </w:rPr>
        <w:t xml:space="preserve"> Ann Intern Med. 1997; 126: 36</w:t>
      </w:r>
      <w:r w:rsidRPr="00D329CB">
        <w:rPr>
          <w:rFonts w:ascii="Cambria" w:hAnsi="Cambria" w:cs="Times New Roman"/>
          <w:sz w:val="20"/>
          <w:szCs w:val="20"/>
          <w:lang w:val="sr-Latn-CS"/>
        </w:rPr>
        <w:t>–</w:t>
      </w:r>
      <w:r w:rsidRPr="00D329CB">
        <w:rPr>
          <w:rFonts w:ascii="Cambria" w:hAnsi="Cambria" w:cs="Times New Roman"/>
          <w:sz w:val="20"/>
          <w:szCs w:val="20"/>
        </w:rPr>
        <w:t xml:space="preserve">47), odnosno u skladu sa verzijom na srpskom jeziku </w:t>
      </w:r>
      <w:r w:rsidRPr="00D329CB">
        <w:rPr>
          <w:rFonts w:ascii="Cambria" w:hAnsi="Cambria" w:cs="Times New Roman"/>
          <w:i/>
          <w:sz w:val="20"/>
          <w:szCs w:val="20"/>
        </w:rPr>
        <w:t>JEDNOBRAZNI ZAHTEVI ZA RUKOPISE KOJI SE PODNOSE BIOMEDICINSKIM ČASOPISIMA</w:t>
      </w:r>
      <w:r w:rsidRPr="00D329CB">
        <w:rPr>
          <w:rFonts w:ascii="Cambria" w:hAnsi="Cambria" w:cs="Times New Roman"/>
          <w:sz w:val="20"/>
          <w:szCs w:val="20"/>
        </w:rPr>
        <w:t>, Srpski arhiv za celokupno lekarstvo, 2002; 130 (7</w:t>
      </w:r>
      <w:r w:rsidRPr="00D329CB">
        <w:rPr>
          <w:rFonts w:ascii="Cambria" w:hAnsi="Cambria" w:cs="Times New Roman"/>
          <w:sz w:val="20"/>
          <w:szCs w:val="20"/>
          <w:lang w:val="sr-Latn-CS"/>
        </w:rPr>
        <w:t>–</w:t>
      </w:r>
      <w:r w:rsidRPr="00D329CB">
        <w:rPr>
          <w:rFonts w:ascii="Cambria" w:hAnsi="Cambria" w:cs="Times New Roman"/>
          <w:sz w:val="20"/>
          <w:szCs w:val="20"/>
        </w:rPr>
        <w:t xml:space="preserve">8): 293. Digitalna verzija je slobodno dostupna na mnogim veb sajtovima, uključujući i veb sajt ICMJE: www.icmje.org, kao i na: www.tmg.org.rs/saradn.htm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Za rukopise koje uredništvo prima podrazumeva se da ne sadrže rezultate koje su autori već objavili u drugom časopisu, ili sličnoj publikaciji. Uz rukopis članka treba priložiti potvrdu o autorstvu (formular možete preuzeti na sajtu: www.tmg.org.rs), eventualno sa elektronskim potpisima svih autora članka. Uredništvo šalje sve radove na stručnu recenziju (izuzimajući zbornike).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U radovima gde može doći do prepoznavanja opisanog bolesnika, treba pažljivo izbeći sve detalje koji ga mogu identifikovati, ili pribaviti pismenu saglasnost za objavljivanje od samog bolesnika, ili najbliže rodbine. Kada postoji pristanak, treba ga navesti u članku.</w:t>
      </w:r>
    </w:p>
    <w:p w:rsidR="00D329CB" w:rsidRPr="00D329CB" w:rsidRDefault="00D329CB"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center"/>
        <w:rPr>
          <w:rFonts w:ascii="Cambria" w:hAnsi="Cambria" w:cs="Times New Roman"/>
          <w:sz w:val="20"/>
          <w:szCs w:val="20"/>
        </w:rPr>
      </w:pPr>
      <w:r w:rsidRPr="00D329CB">
        <w:rPr>
          <w:rFonts w:ascii="Cambria" w:hAnsi="Cambria" w:cs="Times New Roman"/>
          <w:sz w:val="20"/>
          <w:szCs w:val="20"/>
        </w:rPr>
        <w:t>TEHNIČKI ZAHTEVI</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lang w:val="fr-FR"/>
        </w:rPr>
        <w:t xml:space="preserve">Rukopisi se prilažu isključivo u elektronskoj formi. </w:t>
      </w:r>
      <w:r w:rsidRPr="00D329CB">
        <w:rPr>
          <w:rFonts w:ascii="Cambria" w:hAnsi="Cambria" w:cs="Times New Roman"/>
          <w:sz w:val="20"/>
          <w:szCs w:val="20"/>
        </w:rPr>
        <w:t>Rukopise u elektronskoj verziji slati na e-mail adresu: tmglasnik@gmail.com</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Elektronski oblik rukopisa treba da bude u Microsoft Office Word programu (sa ekstenzijom .doc, ili .docx) i treba da sadrži završnu verziju rukopisa. Celokupni tekst, reference, tabele i naslovi tabela i slike i legende </w:t>
      </w:r>
      <w:r w:rsidRPr="00D329CB">
        <w:rPr>
          <w:rFonts w:ascii="Cambria" w:hAnsi="Cambria" w:cs="Times New Roman"/>
          <w:sz w:val="20"/>
          <w:szCs w:val="20"/>
        </w:rPr>
        <w:lastRenderedPageBreak/>
        <w:t>slika treba da budu u jednom dokumentu. Najbolje je ime fajla formirati prema prezimenu prvog autora, jednoj ključnoj reči i tipu rada (na primer: paunkovic_tiroidea_originalni.doc).</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Koristite font Times New Roman, veličine 12 p. Paragraf pišite tako da se ravna samo leva ivica (Alignment left). Ne delite reči na slogove na kraju reda. Ubacite samo jedno prazno mesto posle znaka interpunkcije. Ostavite da naslovi i podnaslovi budu poravnati uz levu ivicu. Koristite podebljana (bold) slova, kurziv (italic), sub i superscript i podvučena slova samo gde je to neophodno. Tabele, slike i grafikone možete umetnuti u tekst na mestu gde treba da se pojave u radu. Prihvatljvi formati za tabele, grafikone, ilustracije i fotografije su doc, xls, jpeg, gif i npg.</w:t>
      </w:r>
    </w:p>
    <w:p w:rsidR="00D329CB" w:rsidRPr="00D329CB" w:rsidRDefault="00D329CB"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center"/>
        <w:rPr>
          <w:rFonts w:ascii="Cambria" w:hAnsi="Cambria" w:cs="Times New Roman"/>
          <w:sz w:val="20"/>
          <w:szCs w:val="20"/>
        </w:rPr>
      </w:pPr>
      <w:r w:rsidRPr="00D329CB">
        <w:rPr>
          <w:rFonts w:ascii="Cambria" w:hAnsi="Cambria" w:cs="Times New Roman"/>
          <w:sz w:val="20"/>
          <w:szCs w:val="20"/>
        </w:rPr>
        <w:t>OBIM RUKOPISA</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Originalni rad je sistematski obavljeno istraživanje nekog problema prema naučnim kriterijumima i jasnim ciljem istraživanja. Dužina teksta je ograničena na 3500 reči, maksimalno 5 tabela, grafikona, ili slika (do 12 stranica teksta).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Pregledni članak obuhvata sistematski obrađen određeni medicinski problem, u kome je autor ostvario određeni doprinos, vidljiv na osnovu autocitata. Pregledni članak se obično naručuje od strane uredništva, ali se razmatraju i nenaručeni rukopisi. Kontaktirajte uredništvo pre pisanja preglednog članka. Dužina teksta može biti do 5000 reči (18 stranica).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Prikaz bolesnika rasvetljava pojedinačne slučajeve iz medicinske prakse. Obično opisuje jednog do tri bolesnika, ili jednu porodicu. Tekst se ograničava na 2500 reči, najviše 3 tabele, ili slike i do 25 referenci (ukupno do 5 stranica teksta).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Člancima iz istorije medicine i zdravstvene culture rasvetljavaju se određeni aspekti medicinske prakse u prošlosti. Dužina teksta može biti do 3500 reči (12 stranica).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Objavljuju se i kratki prilozi iz oblasti medicinske prakse (dijagnostika, terapija, primedbe, predlozi i mišljenja o metodološkom problem itd), kao i prikazi sa različitih medicinskih sastanaka, simpozijuma i kongresa u zemlji i inostranstvu, prikazi knjiga i prikazi članaka iz stranih časopisa (do 1000 reči, 1</w:t>
      </w:r>
      <w:r w:rsidRPr="00D329CB">
        <w:rPr>
          <w:rFonts w:ascii="Cambria" w:hAnsi="Cambria" w:cs="Times New Roman"/>
          <w:sz w:val="20"/>
          <w:szCs w:val="20"/>
          <w:lang w:val="sr-Latn-CS"/>
        </w:rPr>
        <w:t>–</w:t>
      </w:r>
      <w:r w:rsidRPr="00D329CB">
        <w:rPr>
          <w:rFonts w:ascii="Cambria" w:hAnsi="Cambria" w:cs="Times New Roman"/>
          <w:sz w:val="20"/>
          <w:szCs w:val="20"/>
        </w:rPr>
        <w:t xml:space="preserve">2 </w:t>
      </w:r>
      <w:r w:rsidRPr="00D329CB">
        <w:rPr>
          <w:rFonts w:ascii="Cambria" w:hAnsi="Cambria" w:cs="Times New Roman"/>
          <w:sz w:val="20"/>
          <w:szCs w:val="20"/>
        </w:rPr>
        <w:lastRenderedPageBreak/>
        <w:t xml:space="preserve">tabele ili slike, do 5 referenci (do 3 stranice teksta).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Pisma redakciji imaju do 400 reči, ili 250 reči ukoliko sadrže komentare objavljenih članaka. </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Po narudžbini redakcije, ili u dogovoru sa redakcijom objavljuju se i radovi didaktičkog karaktera. </w:t>
      </w:r>
    </w:p>
    <w:p w:rsidR="00D329CB" w:rsidRPr="00D329CB" w:rsidRDefault="00D329CB"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center"/>
        <w:rPr>
          <w:rFonts w:ascii="Cambria" w:hAnsi="Cambria" w:cs="Times New Roman"/>
          <w:sz w:val="20"/>
          <w:szCs w:val="20"/>
        </w:rPr>
      </w:pPr>
      <w:r w:rsidRPr="00D329CB">
        <w:rPr>
          <w:rFonts w:ascii="Cambria" w:hAnsi="Cambria" w:cs="Times New Roman"/>
          <w:sz w:val="20"/>
          <w:szCs w:val="20"/>
        </w:rPr>
        <w:t>PRIPREMA RUKOPISA</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Tekst rada sadrži u prvom redu naslov rada na srpskom jeziku, u drugom redu naslov rada na engleskom jeziku, u narednim redovima: puna imena i prezimena autora i svih koautora; naziv, mesto i adresu institucija iz kojih je autor i koautori (brojevima u zagradi povezati imena autora); eventualnu zahvalnost za pomoć u izradi rada; predlog kategorije rukopisa (originalni rad, pregledni članak, prikaz bolesnika i dr); ime i prezime, godinu rođenja autora i svih koautora; punu adresu, broj telefona i faksa, kao i e-mail autora za korespondenciju. Sledi sažetak na srpskom jeziku (najbolje do 300 reči). Sažetak ne može imati fusnote, tabele, slike, niti reference. Sažetak treba da sadrži cilj istraživanja, materijal i metode, rezultate i zaključke rada i treba da bude napisan u jednom paragrafu, bez podnaslova. U njemu ne smeju biti tvrdnje kojih nema u tekstu članka. Mora biti napisan tako da i obrazovani nestručnjak može iz njega razumeti sadržaj članka. Posle sažetka napisati 3 do 8 ključnih reči na srpskom jeziku. Nakon sažetka na srpskom jeziku, napisati sažetak na engleskom jeziku (Summary) kao doslovan prevod sažetka na srpskom i 3 do 8 ključnih reči na engleskom jeziku (key words). Sledi uvod (sa istoimenim podnaslovom) koji mora biti kratak, sa kratkim pregledom literature o datom problemu i sa jasno izloženim ciljem članka u posebnom paragrafu na kraju uvoda. Poglavlje o materijalu i metodama (sa istoimenim podnaslovom) mora sadržati dovoljno podataka da bi drugi istraživači mogli ponoviti slično istraživanje bez dodatnih informacija. Imena bolesnika i brojeve istorija bolesti ne treba koristiti, kao ni druge detalje koje bi pomogli identifikaciji bolesnika. Treba navesti imena aparata, softvera i statističkih metoda koje su korišćene. Rezultate (sa istoimenim podnaslovom) prikažite jasno i sažeto. Ne treba iste podatke prikazivati i u tabelama i na grafikonima. U diskusiji (sa istoimenim podnaslovom) treba raspravljati o tumačenju </w:t>
      </w:r>
      <w:r w:rsidRPr="00D329CB">
        <w:rPr>
          <w:rFonts w:ascii="Cambria" w:hAnsi="Cambria" w:cs="Times New Roman"/>
          <w:sz w:val="20"/>
          <w:szCs w:val="20"/>
        </w:rPr>
        <w:lastRenderedPageBreak/>
        <w:t>rezultata, njihovom značenju u poređenju sa drugim, sličnim istraživanjima i u skladu sa postavljenim hipotezama istraživanja. Ne treba ponavljati već napisane rezultate. Zaključke (sa istoimenim podnaslovom) treba dati na kraju diskusije, ili u posebnom poglavlju.</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Svaka tabela, grafikon, ili ilustracija mora biti razumljiva sama po sebi, tj. i bez čitanja teksta u rukopisu. Iznad tabele, grafikona, ili slike treba da stoji redni broj i naslov. Legendu staviti u fusnotu ispod tabele, grafikona, ili slike i tu objasniti sve nestandardne skraćenice. Ilustracije (slike) moraju biti oštre i kontrastne, ne veće od 1024x768 piksela. Broj slika treba ograničiti na najnužnije (u principu ne više od 4–5). Ukoliko se slika, tabela, ili grafikon preuzima sa interneta, ili nekog drugog izvora, potrebno je navesti izvor. Naslove i tekst u tabelama, grafikonima i tekstu i slike dati na srpskom i na engleskom jeziku.</w:t>
      </w:r>
    </w:p>
    <w:p w:rsidR="00D329CB" w:rsidRPr="00D329CB" w:rsidRDefault="00D329CB"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center"/>
        <w:rPr>
          <w:rFonts w:ascii="Cambria" w:hAnsi="Cambria" w:cs="Times New Roman"/>
          <w:sz w:val="20"/>
          <w:szCs w:val="20"/>
        </w:rPr>
      </w:pPr>
      <w:r w:rsidRPr="00D329CB">
        <w:rPr>
          <w:rFonts w:ascii="Cambria" w:hAnsi="Cambria" w:cs="Times New Roman"/>
          <w:sz w:val="20"/>
          <w:szCs w:val="20"/>
        </w:rPr>
        <w:t>NAVOĐENJE LITERATURE</w:t>
      </w:r>
    </w:p>
    <w:p w:rsidR="00D329CB" w:rsidRPr="00D329CB" w:rsidRDefault="00D329CB" w:rsidP="00D329CB">
      <w:pPr>
        <w:spacing w:after="0" w:line="240" w:lineRule="auto"/>
        <w:ind w:firstLine="720"/>
        <w:jc w:val="both"/>
        <w:rPr>
          <w:rFonts w:ascii="Cambria" w:hAnsi="Cambria" w:cs="Times New Roman"/>
          <w:sz w:val="20"/>
          <w:szCs w:val="20"/>
        </w:rPr>
      </w:pPr>
      <w:r w:rsidRPr="00D329CB">
        <w:rPr>
          <w:rFonts w:ascii="Cambria" w:hAnsi="Cambria" w:cs="Times New Roman"/>
          <w:sz w:val="20"/>
          <w:szCs w:val="20"/>
        </w:rPr>
        <w:t xml:space="preserve">Na kraju rada napisati spisak citirane literature, koja treba da bude što aktuelnija i većina referenci ne treba da bude starija od 5 godina. Reference se numerišu redosledom pojave u tekstu. Reference u tekstu obeležiti arapskim brojem u uglastoj zagradi [ ... ]. </w:t>
      </w:r>
      <w:r w:rsidRPr="00D329CB">
        <w:rPr>
          <w:rFonts w:ascii="Cambria" w:hAnsi="Cambria" w:cs="Times New Roman"/>
          <w:sz w:val="20"/>
          <w:szCs w:val="20"/>
          <w:lang w:val="fr-FR"/>
        </w:rPr>
        <w:t xml:space="preserve">U literaturi se nabraja prvih 6 autora citiranog članka, a potom se piše „et al”. Imena časopisa se mogu skraćivati samo kao u Index Medicusu. Skraćenica časopisa se može naći preko web sajta: http://www.nlm.nih.gov/. </w:t>
      </w:r>
      <w:r w:rsidRPr="00D329CB">
        <w:rPr>
          <w:rFonts w:ascii="Cambria" w:hAnsi="Cambria" w:cs="Times New Roman"/>
          <w:sz w:val="20"/>
          <w:szCs w:val="20"/>
        </w:rPr>
        <w:t>Ako se ne zna skraćenica, ime časopisa navesti u celini. Literatura se navodi na sledeći način:</w:t>
      </w:r>
    </w:p>
    <w:p w:rsidR="00D329CB" w:rsidRPr="00D329CB" w:rsidRDefault="00D329CB"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both"/>
        <w:rPr>
          <w:rFonts w:ascii="Cambria" w:hAnsi="Cambria" w:cs="Times New Roman"/>
          <w:b/>
          <w:i/>
          <w:sz w:val="20"/>
          <w:szCs w:val="20"/>
        </w:rPr>
      </w:pPr>
      <w:r w:rsidRPr="00D329CB">
        <w:rPr>
          <w:rFonts w:ascii="Cambria" w:hAnsi="Cambria" w:cs="Times New Roman"/>
          <w:b/>
          <w:i/>
          <w:sz w:val="20"/>
          <w:szCs w:val="20"/>
        </w:rPr>
        <w:t>Članci u časopisu</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Standardni članak u časopisu:</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Gao SR, McGarry M, Ferrier TL, Pallante B, Gasparrini B, Fletcher JR, et al. Effect of cell confluence on production of cloned mice using an inbred embryonic stem cell line. Biol Reprod. 2003; 68 (2): 595–603.</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Organizacija kao autor:</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WHO collaborative study team on the role of breastfeeding on the prevention of infant mortality. Efect of brestfeeding on infant and child mortality due to infectious diseases in less developed countries: a pooled analysis. Lancet. 2000; 355: 451–5.</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Nisu navedeni autori:</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Coffe drinking and cancer of the pancreas [editorial]. BMJ. 1981; 283: 628.</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Volumen sa suplementom:</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lastRenderedPageBreak/>
        <w:t>Magni F, Rossoni G, Berti F. BN-52021 protects guinea pig heart anaphylaxis. Pharmacol Res Commun. 1988; 20 Suppl 5: 75–8.</w:t>
      </w:r>
    </w:p>
    <w:p w:rsidR="00D329CB" w:rsidRPr="00D329CB" w:rsidRDefault="00D329CB"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both"/>
        <w:rPr>
          <w:rFonts w:ascii="Cambria" w:hAnsi="Cambria" w:cs="Times New Roman"/>
          <w:b/>
          <w:i/>
          <w:sz w:val="20"/>
          <w:szCs w:val="20"/>
        </w:rPr>
      </w:pPr>
      <w:r w:rsidRPr="00D329CB">
        <w:rPr>
          <w:rFonts w:ascii="Cambria" w:hAnsi="Cambria" w:cs="Times New Roman"/>
          <w:b/>
          <w:i/>
          <w:sz w:val="20"/>
          <w:szCs w:val="20"/>
        </w:rPr>
        <w:t>Knjige i druge monografije</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Autor je osoba(e):</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Carlson BM. Human embryology and developmental biology. 3rd ed. St. Louis: Mosby; 2004.</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Urednik(ci) kao autori:</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 xml:space="preserve">Brown AM, Stubbs DW, editors. Medical physiology. New York: Wiley; 1983. </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Poglavlje u knjizi:</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Blaxter PS, Farnsworth TP. Social health and class inequalities. In: Carter C, Peel JR, editors. Equalities and inequalities in health. 2nd ed. London: Academic Press; 1976. p. 165–78.</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Saopštenja sa sastanaka:</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Harris AH, editor. Economics and health: 1997: Proceedings of the 19th Australian Conference of Health Economists; 1997 Sep 13-14; Sydney, Australia. Kensington, N.S.W.: School of Health Services Management, University of New South Wales; 1998.</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Članci sa konferencija:</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Anderson JC. Current status of chorion villus biopsy. In: Tudenhope D, Chenoweth J, editors. Proceedings of the 4th Congress of the Australian Perinatal Society; 1986: Brisbane, Queensland: Australian Perinatal Society; 1987. p. 190-6.</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Disertacija:</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Cairns RB. Infrared spectroscopis studies of solid oxygen. Dissertation. Berkley, California: University of California, 1965.</w:t>
      </w:r>
    </w:p>
    <w:p w:rsidR="00D329CB" w:rsidRDefault="00D329CB" w:rsidP="00D329CB">
      <w:pPr>
        <w:spacing w:after="0" w:line="240" w:lineRule="auto"/>
        <w:jc w:val="both"/>
        <w:rPr>
          <w:rFonts w:ascii="Cambria" w:hAnsi="Cambria" w:cs="Times New Roman"/>
          <w:sz w:val="20"/>
          <w:szCs w:val="20"/>
        </w:rPr>
      </w:pPr>
    </w:p>
    <w:p w:rsidR="0006264A" w:rsidRPr="00D329CB" w:rsidRDefault="0006264A" w:rsidP="00D329CB">
      <w:pPr>
        <w:spacing w:after="0" w:line="240" w:lineRule="auto"/>
        <w:jc w:val="both"/>
        <w:rPr>
          <w:rFonts w:ascii="Cambria" w:hAnsi="Cambria" w:cs="Times New Roman"/>
          <w:sz w:val="20"/>
          <w:szCs w:val="20"/>
        </w:rPr>
      </w:pPr>
    </w:p>
    <w:p w:rsidR="00D329CB" w:rsidRPr="00D329CB" w:rsidRDefault="00D329CB" w:rsidP="00D329CB">
      <w:pPr>
        <w:spacing w:after="0" w:line="240" w:lineRule="auto"/>
        <w:jc w:val="both"/>
        <w:rPr>
          <w:rFonts w:ascii="Cambria" w:hAnsi="Cambria" w:cs="Times New Roman"/>
          <w:b/>
          <w:i/>
          <w:sz w:val="20"/>
          <w:szCs w:val="20"/>
        </w:rPr>
      </w:pPr>
      <w:r w:rsidRPr="00D329CB">
        <w:rPr>
          <w:rFonts w:ascii="Cambria" w:hAnsi="Cambria" w:cs="Times New Roman"/>
          <w:b/>
          <w:i/>
          <w:sz w:val="20"/>
          <w:szCs w:val="20"/>
        </w:rPr>
        <w:lastRenderedPageBreak/>
        <w:t>Elektronski materijal</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Članak u časopisu na internetu:</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Abood S. Quality improvement initiative in nursing homes: the ANA acts in an advisory role. Am J Nurs. 2002;102(6). Available from: http://www.nursingworld.org/AJN/2002/june/Wawatch.htm</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 xml:space="preserve">Članak objavljen elektronski pre štampane verzije: </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Yu WM, Hawley TS, Hawley RG, Qu CK. Immortalization of yolk sac-derived precursor cells. Blood. 2002 Nov 15; 100 (10): 3828–31. Epub 2002 Jul 5.</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CD-ROM:</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Anderson SC, Poulsen KB. Anderson's electronic atlas of hematology [CD-ROM]. Philadelphia: Lippincott Williams &amp; Wilkins; 2002.</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Monografija na internetu:</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Foley KM, Gelband H, editors. Improving palliative care for cancer [monograph on the Internet]. Washington: National Academy Press; 2001 [cited 2002 Jul 9]. Available from: http://www.nap.edu/books/0309074029/html/.</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Web lokacija:</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Cancer-Pain.org [homepage on the Internet]. New York: Association of Cancer Online Resources, Inc.; c2000-01 [updated 2002 May 16; cited 2002 Jul 9]. Available from: http://www.cancer-pain.org/.</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Deo web lokacije:</w:t>
      </w:r>
    </w:p>
    <w:p w:rsidR="00D329CB" w:rsidRPr="00D329CB" w:rsidRDefault="00D329CB" w:rsidP="00D329CB">
      <w:pPr>
        <w:spacing w:after="0" w:line="240" w:lineRule="auto"/>
        <w:jc w:val="both"/>
        <w:rPr>
          <w:rFonts w:ascii="Cambria" w:hAnsi="Cambria" w:cs="Times New Roman"/>
          <w:sz w:val="20"/>
          <w:szCs w:val="20"/>
        </w:rPr>
      </w:pPr>
      <w:r w:rsidRPr="00D329CB">
        <w:rPr>
          <w:rFonts w:ascii="Cambria" w:hAnsi="Cambria" w:cs="Times New Roman"/>
          <w:sz w:val="20"/>
          <w:szCs w:val="20"/>
        </w:rPr>
        <w:t>American Medical Association [homepage on the Internet]. Chicago: The Association; c1995-2002 [updated 2001 Aug 23; cited 2002 Aug 12]. AMA Office of Group Practice Liaison; [about 2 screens]. Available from: http://www.ama- assn.org/ama/pub/category/1736.html</w:t>
      </w:r>
    </w:p>
    <w:p w:rsidR="00D329CB" w:rsidRDefault="00D329CB" w:rsidP="00DE64DB">
      <w:pPr>
        <w:spacing w:after="0" w:line="240" w:lineRule="auto"/>
        <w:rPr>
          <w:rFonts w:ascii="Cambria" w:hAnsi="Cambria"/>
          <w:sz w:val="20"/>
        </w:rPr>
        <w:sectPr w:rsidR="00D329CB" w:rsidSect="00D329CB">
          <w:type w:val="continuous"/>
          <w:pgSz w:w="11907" w:h="16840" w:code="9"/>
          <w:pgMar w:top="2268" w:right="1418" w:bottom="1701" w:left="1418" w:header="720" w:footer="851" w:gutter="0"/>
          <w:cols w:num="2" w:space="720"/>
          <w:docGrid w:linePitch="360"/>
        </w:sectPr>
      </w:pPr>
    </w:p>
    <w:p w:rsidR="00D329CB" w:rsidRPr="00D329CB" w:rsidRDefault="00D329CB" w:rsidP="00DE64DB">
      <w:pPr>
        <w:spacing w:after="0" w:line="240" w:lineRule="auto"/>
        <w:rPr>
          <w:rFonts w:ascii="Cambria" w:hAnsi="Cambria"/>
          <w:sz w:val="20"/>
        </w:rPr>
      </w:pPr>
    </w:p>
    <w:sectPr w:rsidR="00D329CB" w:rsidRPr="00D329CB" w:rsidSect="00E644E6">
      <w:type w:val="continuous"/>
      <w:pgSz w:w="11907" w:h="16840" w:code="9"/>
      <w:pgMar w:top="2268" w:right="1418" w:bottom="1701" w:left="1418" w:header="720"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082" w:rsidRDefault="00B23082" w:rsidP="00F11409">
      <w:pPr>
        <w:spacing w:after="0" w:line="240" w:lineRule="auto"/>
      </w:pPr>
      <w:r>
        <w:separator/>
      </w:r>
    </w:p>
  </w:endnote>
  <w:endnote w:type="continuationSeparator" w:id="0">
    <w:p w:rsidR="00B23082" w:rsidRDefault="00B23082" w:rsidP="00F11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gaGreek">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D0" w:rsidRPr="00B218AF" w:rsidRDefault="00E960D0" w:rsidP="00BD59CD">
    <w:pPr>
      <w:pStyle w:val="NoSpacing"/>
      <w:jc w:val="right"/>
      <w:rPr>
        <w:rFonts w:ascii="Cambria" w:hAnsi="Cambria"/>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498" w:rsidRDefault="00503498">
    <w:pPr>
      <w:pStyle w:val="Footer"/>
    </w:pPr>
  </w:p>
  <w:p w:rsidR="00E960D0" w:rsidRDefault="00B51563">
    <w:pPr>
      <w:pStyle w:val="Footer"/>
    </w:pPr>
    <w:r>
      <w:rPr>
        <w:noProof/>
      </w:rPr>
      <mc:AlternateContent>
        <mc:Choice Requires="wps">
          <w:drawing>
            <wp:anchor distT="0" distB="0" distL="114300" distR="114300" simplePos="0" relativeHeight="251658240" behindDoc="1" locked="0" layoutInCell="1" allowOverlap="1">
              <wp:simplePos x="0" y="0"/>
              <wp:positionH relativeFrom="column">
                <wp:posOffset>-24130</wp:posOffset>
              </wp:positionH>
              <wp:positionV relativeFrom="paragraph">
                <wp:posOffset>-325755</wp:posOffset>
              </wp:positionV>
              <wp:extent cx="5799455" cy="636905"/>
              <wp:effectExtent l="4445"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63690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60D0" w:rsidRPr="002F4F73" w:rsidRDefault="00E960D0" w:rsidP="00E960D0">
                          <w:pPr>
                            <w:pStyle w:val="NoSpacing"/>
                            <w:rPr>
                              <w:rFonts w:ascii="Times New Roman" w:hAnsi="Times New Roman"/>
                              <w:i/>
                              <w:sz w:val="18"/>
                              <w:szCs w:val="18"/>
                            </w:rPr>
                          </w:pPr>
                          <w:r w:rsidRPr="00502E6B">
                            <w:rPr>
                              <w:rFonts w:ascii="Times New Roman" w:hAnsi="Times New Roman"/>
                              <w:b/>
                              <w:sz w:val="18"/>
                              <w:szCs w:val="18"/>
                            </w:rPr>
                            <w:t>Adresa autora:</w:t>
                          </w:r>
                          <w:r w:rsidRPr="00502E6B">
                            <w:rPr>
                              <w:rFonts w:ascii="Times New Roman" w:hAnsi="Times New Roman"/>
                              <w:sz w:val="18"/>
                              <w:szCs w:val="18"/>
                            </w:rPr>
                            <w:t xml:space="preserve"> </w:t>
                          </w:r>
                          <w:r w:rsidRPr="002F4F73">
                            <w:rPr>
                              <w:rFonts w:ascii="Times New Roman" w:hAnsi="Times New Roman"/>
                              <w:bCs/>
                              <w:kern w:val="28"/>
                              <w:sz w:val="18"/>
                              <w:szCs w:val="18"/>
                            </w:rPr>
                            <w:t xml:space="preserve">Aleksandar Aleksić, Nikole Pašića 83A 2/2, </w:t>
                          </w:r>
                          <w:r>
                            <w:rPr>
                              <w:rFonts w:ascii="Times New Roman" w:hAnsi="Times New Roman"/>
                              <w:bCs/>
                              <w:kern w:val="28"/>
                              <w:sz w:val="18"/>
                              <w:szCs w:val="18"/>
                            </w:rPr>
                            <w:t>19 000</w:t>
                          </w:r>
                          <w:r w:rsidRPr="002F4F73">
                            <w:rPr>
                              <w:rFonts w:ascii="Times New Roman" w:hAnsi="Times New Roman"/>
                              <w:bCs/>
                              <w:kern w:val="28"/>
                              <w:sz w:val="18"/>
                              <w:szCs w:val="18"/>
                            </w:rPr>
                            <w:t xml:space="preserve"> </w:t>
                          </w:r>
                          <w:r>
                            <w:rPr>
                              <w:rFonts w:ascii="Times New Roman" w:hAnsi="Times New Roman"/>
                              <w:sz w:val="18"/>
                              <w:szCs w:val="18"/>
                            </w:rPr>
                            <w:t xml:space="preserve">Zajecar, </w:t>
                          </w:r>
                          <w:r w:rsidRPr="002F4F73">
                            <w:rPr>
                              <w:rFonts w:ascii="Times New Roman" w:hAnsi="Times New Roman"/>
                              <w:sz w:val="18"/>
                              <w:szCs w:val="18"/>
                              <w:lang w:val="sr-Latn-CS"/>
                            </w:rPr>
                            <w:t xml:space="preserve">Srbija;              </w:t>
                          </w:r>
                          <w:r w:rsidRPr="002F4F73">
                            <w:rPr>
                              <w:rFonts w:ascii="Times New Roman" w:hAnsi="Times New Roman"/>
                              <w:i/>
                              <w:sz w:val="18"/>
                              <w:szCs w:val="18"/>
                            </w:rPr>
                            <w:t xml:space="preserve"> </w:t>
                          </w:r>
                          <w:r>
                            <w:rPr>
                              <w:rFonts w:ascii="Times New Roman" w:hAnsi="Times New Roman"/>
                              <w:i/>
                              <w:sz w:val="18"/>
                              <w:szCs w:val="18"/>
                            </w:rPr>
                            <w:t xml:space="preserve">                                              </w:t>
                          </w:r>
                          <w:r w:rsidRPr="002F4F73">
                            <w:rPr>
                              <w:rFonts w:ascii="Times New Roman" w:hAnsi="Times New Roman"/>
                              <w:i/>
                              <w:sz w:val="18"/>
                              <w:szCs w:val="18"/>
                            </w:rPr>
                            <w:t xml:space="preserve">E-mail: </w:t>
                          </w:r>
                          <w:r w:rsidRPr="002F4F73">
                            <w:rPr>
                              <w:rFonts w:ascii="Times New Roman" w:hAnsi="Times New Roman"/>
                              <w:bCs/>
                              <w:i/>
                              <w:kern w:val="28"/>
                              <w:sz w:val="18"/>
                              <w:szCs w:val="18"/>
                            </w:rPr>
                            <w:t>lukaal@ptt.rs</w:t>
                          </w:r>
                        </w:p>
                        <w:p w:rsidR="00E960D0" w:rsidRPr="00502E6B" w:rsidRDefault="00E960D0" w:rsidP="00E960D0">
                          <w:pPr>
                            <w:pStyle w:val="NoSpacing"/>
                            <w:rPr>
                              <w:rFonts w:ascii="Times New Roman" w:hAnsi="Times New Roman"/>
                              <w:i/>
                              <w:sz w:val="18"/>
                              <w:szCs w:val="18"/>
                            </w:rPr>
                          </w:pPr>
                          <w:r w:rsidRPr="00502E6B">
                            <w:rPr>
                              <w:rFonts w:ascii="Times New Roman" w:hAnsi="Times New Roman"/>
                              <w:sz w:val="18"/>
                              <w:szCs w:val="18"/>
                            </w:rPr>
                            <w:t xml:space="preserve">Rad primljen: </w:t>
                          </w:r>
                          <w:r>
                            <w:rPr>
                              <w:rFonts w:ascii="Times New Roman" w:hAnsi="Times New Roman"/>
                              <w:sz w:val="18"/>
                              <w:szCs w:val="18"/>
                            </w:rPr>
                            <w:t>5</w:t>
                          </w:r>
                          <w:r w:rsidRPr="00502E6B">
                            <w:rPr>
                              <w:rFonts w:ascii="Times New Roman" w:hAnsi="Times New Roman"/>
                              <w:sz w:val="18"/>
                              <w:szCs w:val="18"/>
                            </w:rPr>
                            <w:t xml:space="preserve">. </w:t>
                          </w:r>
                          <w:r>
                            <w:rPr>
                              <w:rFonts w:ascii="Times New Roman" w:hAnsi="Times New Roman"/>
                              <w:sz w:val="18"/>
                              <w:szCs w:val="18"/>
                            </w:rPr>
                            <w:t>11</w:t>
                          </w:r>
                          <w:r w:rsidRPr="00502E6B">
                            <w:rPr>
                              <w:rFonts w:ascii="Times New Roman" w:hAnsi="Times New Roman"/>
                              <w:sz w:val="18"/>
                              <w:szCs w:val="18"/>
                            </w:rPr>
                            <w:t xml:space="preserve">. 2013.  Rad prihvaćen: </w:t>
                          </w:r>
                          <w:r>
                            <w:rPr>
                              <w:rFonts w:ascii="Times New Roman" w:hAnsi="Times New Roman"/>
                              <w:sz w:val="18"/>
                              <w:szCs w:val="18"/>
                            </w:rPr>
                            <w:t>3</w:t>
                          </w:r>
                          <w:r w:rsidRPr="00502E6B">
                            <w:rPr>
                              <w:rFonts w:ascii="Times New Roman" w:hAnsi="Times New Roman"/>
                              <w:sz w:val="18"/>
                              <w:szCs w:val="18"/>
                            </w:rPr>
                            <w:t>. 1</w:t>
                          </w:r>
                          <w:r>
                            <w:rPr>
                              <w:rFonts w:ascii="Times New Roman" w:hAnsi="Times New Roman"/>
                              <w:sz w:val="18"/>
                              <w:szCs w:val="18"/>
                            </w:rPr>
                            <w:t>2</w:t>
                          </w:r>
                          <w:r w:rsidRPr="00502E6B">
                            <w:rPr>
                              <w:rFonts w:ascii="Times New Roman" w:hAnsi="Times New Roman"/>
                              <w:sz w:val="18"/>
                              <w:szCs w:val="18"/>
                            </w:rPr>
                            <w:t>. 2013.  Elektronska ve</w:t>
                          </w:r>
                          <w:r w:rsidRPr="00502E6B">
                            <w:rPr>
                              <w:rFonts w:ascii="Times New Roman" w:hAnsi="Times New Roman"/>
                              <w:sz w:val="18"/>
                              <w:szCs w:val="18"/>
                            </w:rPr>
                            <w:t>r</w:t>
                          </w:r>
                          <w:r w:rsidRPr="00502E6B">
                            <w:rPr>
                              <w:rFonts w:ascii="Times New Roman" w:hAnsi="Times New Roman"/>
                              <w:sz w:val="18"/>
                              <w:szCs w:val="18"/>
                            </w:rPr>
                            <w:t>zija objavljena:</w:t>
                          </w:r>
                          <w:r>
                            <w:rPr>
                              <w:rFonts w:ascii="Times New Roman" w:hAnsi="Times New Roman"/>
                              <w:sz w:val="18"/>
                              <w:szCs w:val="18"/>
                            </w:rPr>
                            <w:t xml:space="preserve">  14. 3.2014.</w:t>
                          </w:r>
                          <w:r w:rsidRPr="00502E6B">
                            <w:rPr>
                              <w:rFonts w:ascii="Times New Roman" w:hAnsi="Times New Roman"/>
                              <w:sz w:val="18"/>
                              <w:szCs w:val="18"/>
                            </w:rPr>
                            <w:t xml:space="preserve">     </w:t>
                          </w:r>
                        </w:p>
                        <w:p w:rsidR="00E960D0" w:rsidRPr="00502E6B" w:rsidRDefault="00E960D0" w:rsidP="00E960D0">
                          <w:pPr>
                            <w:pStyle w:val="NoSpacing"/>
                            <w:jc w:val="right"/>
                            <w:rPr>
                              <w:rFonts w:ascii="Times New Roman" w:hAnsi="Times New Roman"/>
                              <w:i/>
                              <w:sz w:val="18"/>
                              <w:szCs w:val="18"/>
                            </w:rPr>
                          </w:pPr>
                          <w:r w:rsidRPr="00502E6B">
                            <w:rPr>
                              <w:rFonts w:ascii="Times New Roman" w:hAnsi="Times New Roman"/>
                              <w:i/>
                              <w:sz w:val="18"/>
                              <w:szCs w:val="18"/>
                            </w:rPr>
                            <w:t>www.tmg.org.rs</w:t>
                          </w:r>
                        </w:p>
                        <w:p w:rsidR="00E960D0" w:rsidRPr="004F0163" w:rsidRDefault="00E960D0" w:rsidP="00E960D0">
                          <w:pPr>
                            <w:pStyle w:val="NoSpacing"/>
                            <w:rPr>
                              <w:sz w:val="20"/>
                              <w:szCs w:val="20"/>
                            </w:rPr>
                          </w:pPr>
                        </w:p>
                        <w:p w:rsidR="00E960D0" w:rsidRDefault="00E960D0" w:rsidP="00E960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pt;margin-top:-25.65pt;width:456.65pt;height:5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" fillcolor="#f2f2f2" stroked="f">
              <v:textbox>
                <w:txbxContent>
                  <w:p w:rsidR="00E960D0" w:rsidRPr="002F4F73" w:rsidRDefault="00E960D0" w:rsidP="00E960D0">
                    <w:pPr>
                      <w:pStyle w:val="NoSpacing"/>
                      <w:rPr>
                        <w:rFonts w:ascii="Times New Roman" w:hAnsi="Times New Roman"/>
                        <w:i/>
                        <w:sz w:val="18"/>
                        <w:szCs w:val="18"/>
                      </w:rPr>
                    </w:pPr>
                    <w:r w:rsidRPr="00502E6B">
                      <w:rPr>
                        <w:rFonts w:ascii="Times New Roman" w:hAnsi="Times New Roman"/>
                        <w:b/>
                        <w:sz w:val="18"/>
                        <w:szCs w:val="18"/>
                      </w:rPr>
                      <w:t>Adresa autora:</w:t>
                    </w:r>
                    <w:r w:rsidRPr="00502E6B">
                      <w:rPr>
                        <w:rFonts w:ascii="Times New Roman" w:hAnsi="Times New Roman"/>
                        <w:sz w:val="18"/>
                        <w:szCs w:val="18"/>
                      </w:rPr>
                      <w:t xml:space="preserve"> </w:t>
                    </w:r>
                    <w:r w:rsidRPr="002F4F73">
                      <w:rPr>
                        <w:rFonts w:ascii="Times New Roman" w:hAnsi="Times New Roman"/>
                        <w:bCs/>
                        <w:kern w:val="28"/>
                        <w:sz w:val="18"/>
                        <w:szCs w:val="18"/>
                      </w:rPr>
                      <w:t xml:space="preserve">Aleksandar Aleksić, Nikole Pašića 83A 2/2, </w:t>
                    </w:r>
                    <w:r>
                      <w:rPr>
                        <w:rFonts w:ascii="Times New Roman" w:hAnsi="Times New Roman"/>
                        <w:bCs/>
                        <w:kern w:val="28"/>
                        <w:sz w:val="18"/>
                        <w:szCs w:val="18"/>
                      </w:rPr>
                      <w:t>19 000</w:t>
                    </w:r>
                    <w:r w:rsidRPr="002F4F73">
                      <w:rPr>
                        <w:rFonts w:ascii="Times New Roman" w:hAnsi="Times New Roman"/>
                        <w:bCs/>
                        <w:kern w:val="28"/>
                        <w:sz w:val="18"/>
                        <w:szCs w:val="18"/>
                      </w:rPr>
                      <w:t xml:space="preserve"> </w:t>
                    </w:r>
                    <w:r>
                      <w:rPr>
                        <w:rFonts w:ascii="Times New Roman" w:hAnsi="Times New Roman"/>
                        <w:sz w:val="18"/>
                        <w:szCs w:val="18"/>
                      </w:rPr>
                      <w:t xml:space="preserve">Zajecar, </w:t>
                    </w:r>
                    <w:r w:rsidRPr="002F4F73">
                      <w:rPr>
                        <w:rFonts w:ascii="Times New Roman" w:hAnsi="Times New Roman"/>
                        <w:sz w:val="18"/>
                        <w:szCs w:val="18"/>
                        <w:lang w:val="sr-Latn-CS"/>
                      </w:rPr>
                      <w:t xml:space="preserve">Srbija;              </w:t>
                    </w:r>
                    <w:r w:rsidRPr="002F4F73">
                      <w:rPr>
                        <w:rFonts w:ascii="Times New Roman" w:hAnsi="Times New Roman"/>
                        <w:i/>
                        <w:sz w:val="18"/>
                        <w:szCs w:val="18"/>
                      </w:rPr>
                      <w:t xml:space="preserve"> </w:t>
                    </w:r>
                    <w:r>
                      <w:rPr>
                        <w:rFonts w:ascii="Times New Roman" w:hAnsi="Times New Roman"/>
                        <w:i/>
                        <w:sz w:val="18"/>
                        <w:szCs w:val="18"/>
                      </w:rPr>
                      <w:t xml:space="preserve">                                              </w:t>
                    </w:r>
                    <w:r w:rsidRPr="002F4F73">
                      <w:rPr>
                        <w:rFonts w:ascii="Times New Roman" w:hAnsi="Times New Roman"/>
                        <w:i/>
                        <w:sz w:val="18"/>
                        <w:szCs w:val="18"/>
                      </w:rPr>
                      <w:t xml:space="preserve">E-mail: </w:t>
                    </w:r>
                    <w:r w:rsidRPr="002F4F73">
                      <w:rPr>
                        <w:rFonts w:ascii="Times New Roman" w:hAnsi="Times New Roman"/>
                        <w:bCs/>
                        <w:i/>
                        <w:kern w:val="28"/>
                        <w:sz w:val="18"/>
                        <w:szCs w:val="18"/>
                      </w:rPr>
                      <w:t>lukaal@ptt.rs</w:t>
                    </w:r>
                  </w:p>
                  <w:p w:rsidR="00E960D0" w:rsidRPr="00502E6B" w:rsidRDefault="00E960D0" w:rsidP="00E960D0">
                    <w:pPr>
                      <w:pStyle w:val="NoSpacing"/>
                      <w:rPr>
                        <w:rFonts w:ascii="Times New Roman" w:hAnsi="Times New Roman"/>
                        <w:i/>
                        <w:sz w:val="18"/>
                        <w:szCs w:val="18"/>
                      </w:rPr>
                    </w:pPr>
                    <w:r w:rsidRPr="00502E6B">
                      <w:rPr>
                        <w:rFonts w:ascii="Times New Roman" w:hAnsi="Times New Roman"/>
                        <w:sz w:val="18"/>
                        <w:szCs w:val="18"/>
                      </w:rPr>
                      <w:t xml:space="preserve">Rad primljen: </w:t>
                    </w:r>
                    <w:r>
                      <w:rPr>
                        <w:rFonts w:ascii="Times New Roman" w:hAnsi="Times New Roman"/>
                        <w:sz w:val="18"/>
                        <w:szCs w:val="18"/>
                      </w:rPr>
                      <w:t>5</w:t>
                    </w:r>
                    <w:r w:rsidRPr="00502E6B">
                      <w:rPr>
                        <w:rFonts w:ascii="Times New Roman" w:hAnsi="Times New Roman"/>
                        <w:sz w:val="18"/>
                        <w:szCs w:val="18"/>
                      </w:rPr>
                      <w:t xml:space="preserve">. </w:t>
                    </w:r>
                    <w:r>
                      <w:rPr>
                        <w:rFonts w:ascii="Times New Roman" w:hAnsi="Times New Roman"/>
                        <w:sz w:val="18"/>
                        <w:szCs w:val="18"/>
                      </w:rPr>
                      <w:t>11</w:t>
                    </w:r>
                    <w:r w:rsidRPr="00502E6B">
                      <w:rPr>
                        <w:rFonts w:ascii="Times New Roman" w:hAnsi="Times New Roman"/>
                        <w:sz w:val="18"/>
                        <w:szCs w:val="18"/>
                      </w:rPr>
                      <w:t xml:space="preserve">. 2013.  Rad prihvaćen: </w:t>
                    </w:r>
                    <w:r>
                      <w:rPr>
                        <w:rFonts w:ascii="Times New Roman" w:hAnsi="Times New Roman"/>
                        <w:sz w:val="18"/>
                        <w:szCs w:val="18"/>
                      </w:rPr>
                      <w:t>3</w:t>
                    </w:r>
                    <w:r w:rsidRPr="00502E6B">
                      <w:rPr>
                        <w:rFonts w:ascii="Times New Roman" w:hAnsi="Times New Roman"/>
                        <w:sz w:val="18"/>
                        <w:szCs w:val="18"/>
                      </w:rPr>
                      <w:t>. 1</w:t>
                    </w:r>
                    <w:r>
                      <w:rPr>
                        <w:rFonts w:ascii="Times New Roman" w:hAnsi="Times New Roman"/>
                        <w:sz w:val="18"/>
                        <w:szCs w:val="18"/>
                      </w:rPr>
                      <w:t>2</w:t>
                    </w:r>
                    <w:r w:rsidRPr="00502E6B">
                      <w:rPr>
                        <w:rFonts w:ascii="Times New Roman" w:hAnsi="Times New Roman"/>
                        <w:sz w:val="18"/>
                        <w:szCs w:val="18"/>
                      </w:rPr>
                      <w:t>. 2013.  Elektronska ve</w:t>
                    </w:r>
                    <w:r w:rsidRPr="00502E6B">
                      <w:rPr>
                        <w:rFonts w:ascii="Times New Roman" w:hAnsi="Times New Roman"/>
                        <w:sz w:val="18"/>
                        <w:szCs w:val="18"/>
                      </w:rPr>
                      <w:t>r</w:t>
                    </w:r>
                    <w:r w:rsidRPr="00502E6B">
                      <w:rPr>
                        <w:rFonts w:ascii="Times New Roman" w:hAnsi="Times New Roman"/>
                        <w:sz w:val="18"/>
                        <w:szCs w:val="18"/>
                      </w:rPr>
                      <w:t>zija objavljena:</w:t>
                    </w:r>
                    <w:r>
                      <w:rPr>
                        <w:rFonts w:ascii="Times New Roman" w:hAnsi="Times New Roman"/>
                        <w:sz w:val="18"/>
                        <w:szCs w:val="18"/>
                      </w:rPr>
                      <w:t xml:space="preserve">  14. 3.2014.</w:t>
                    </w:r>
                    <w:r w:rsidRPr="00502E6B">
                      <w:rPr>
                        <w:rFonts w:ascii="Times New Roman" w:hAnsi="Times New Roman"/>
                        <w:sz w:val="18"/>
                        <w:szCs w:val="18"/>
                      </w:rPr>
                      <w:t xml:space="preserve">     </w:t>
                    </w:r>
                  </w:p>
                  <w:p w:rsidR="00E960D0" w:rsidRPr="00502E6B" w:rsidRDefault="00E960D0" w:rsidP="00E960D0">
                    <w:pPr>
                      <w:pStyle w:val="NoSpacing"/>
                      <w:jc w:val="right"/>
                      <w:rPr>
                        <w:rFonts w:ascii="Times New Roman" w:hAnsi="Times New Roman"/>
                        <w:i/>
                        <w:sz w:val="18"/>
                        <w:szCs w:val="18"/>
                      </w:rPr>
                    </w:pPr>
                    <w:r w:rsidRPr="00502E6B">
                      <w:rPr>
                        <w:rFonts w:ascii="Times New Roman" w:hAnsi="Times New Roman"/>
                        <w:i/>
                        <w:sz w:val="18"/>
                        <w:szCs w:val="18"/>
                      </w:rPr>
                      <w:t>www.tmg.org.rs</w:t>
                    </w:r>
                  </w:p>
                  <w:p w:rsidR="00E960D0" w:rsidRPr="004F0163" w:rsidRDefault="00E960D0" w:rsidP="00E960D0">
                    <w:pPr>
                      <w:pStyle w:val="NoSpacing"/>
                      <w:rPr>
                        <w:sz w:val="20"/>
                        <w:szCs w:val="20"/>
                      </w:rPr>
                    </w:pPr>
                  </w:p>
                  <w:p w:rsidR="00E960D0" w:rsidRDefault="00E960D0" w:rsidP="00E960D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082" w:rsidRDefault="00B23082" w:rsidP="00F11409">
      <w:pPr>
        <w:spacing w:after="0" w:line="240" w:lineRule="auto"/>
      </w:pPr>
      <w:r>
        <w:separator/>
      </w:r>
    </w:p>
  </w:footnote>
  <w:footnote w:type="continuationSeparator" w:id="0">
    <w:p w:rsidR="00B23082" w:rsidRDefault="00B23082" w:rsidP="00F114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D0" w:rsidRPr="004C5703" w:rsidRDefault="00E960D0" w:rsidP="00E960D0">
    <w:pPr>
      <w:pStyle w:val="Header"/>
      <w:jc w:val="right"/>
      <w:rPr>
        <w:rFonts w:ascii="Times New Roman" w:hAnsi="Times New Roman" w:cs="Times New Roman"/>
        <w:sz w:val="20"/>
        <w:szCs w:val="20"/>
      </w:rPr>
    </w:pPr>
    <w:r w:rsidRPr="004C5703">
      <w:rPr>
        <w:rFonts w:ascii="Times New Roman" w:hAnsi="Times New Roman" w:cs="Times New Roman"/>
        <w:sz w:val="20"/>
        <w:szCs w:val="20"/>
      </w:rPr>
      <w:fldChar w:fldCharType="begin"/>
    </w:r>
    <w:r w:rsidRPr="004C5703">
      <w:rPr>
        <w:rFonts w:ascii="Times New Roman" w:hAnsi="Times New Roman" w:cs="Times New Roman"/>
        <w:sz w:val="20"/>
        <w:szCs w:val="20"/>
      </w:rPr>
      <w:instrText xml:space="preserve"> PAGE   \* MERGEFORMAT </w:instrText>
    </w:r>
    <w:r w:rsidRPr="004C5703">
      <w:rPr>
        <w:rFonts w:ascii="Times New Roman" w:hAnsi="Times New Roman" w:cs="Times New Roman"/>
        <w:sz w:val="20"/>
        <w:szCs w:val="20"/>
      </w:rPr>
      <w:fldChar w:fldCharType="separate"/>
    </w:r>
    <w:r w:rsidR="00372F41">
      <w:rPr>
        <w:rFonts w:ascii="Times New Roman" w:hAnsi="Times New Roman" w:cs="Times New Roman"/>
        <w:noProof/>
        <w:sz w:val="20"/>
        <w:szCs w:val="20"/>
      </w:rPr>
      <w:t>162</w:t>
    </w:r>
    <w:r w:rsidRPr="004C5703">
      <w:rPr>
        <w:rFonts w:ascii="Times New Roman" w:hAnsi="Times New Roman" w:cs="Times New Roman"/>
        <w:noProof/>
        <w:sz w:val="20"/>
        <w:szCs w:val="20"/>
      </w:rPr>
      <w:fldChar w:fldCharType="end"/>
    </w:r>
    <w:r w:rsidRPr="004C5703">
      <w:rPr>
        <w:rFonts w:ascii="Times New Roman" w:hAnsi="Times New Roman" w:cs="Times New Roman"/>
        <w:noProof/>
        <w:sz w:val="20"/>
        <w:szCs w:val="20"/>
      </w:rPr>
      <w:object w:dxaOrig="5790"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91.7pt;margin-top:9.8pt;width:81pt;height:36.05pt;z-index:251657216;mso-position-horizontal-relative:text;mso-position-vertical-relative:text" o:allowincell="f">
          <v:imagedata r:id="rId1" o:title="" gain="2147483647f" blacklevel="9830f"/>
          <w10:wrap type="topAndBottom"/>
        </v:shape>
        <o:OLEObject Type="Embed" ProgID="PBrush" ShapeID="_x0000_s2050" DrawAspect="Content" ObjectID="_1501953237" r:id="rId2"/>
      </w:object>
    </w:r>
  </w:p>
  <w:p w:rsidR="00E960D0" w:rsidRPr="004C5703" w:rsidRDefault="00E960D0" w:rsidP="00E960D0">
    <w:pPr>
      <w:pStyle w:val="TMGbodytext"/>
      <w:tabs>
        <w:tab w:val="left" w:pos="9000"/>
      </w:tabs>
      <w:ind w:right="71"/>
      <w:rPr>
        <w:sz w:val="20"/>
        <w:szCs w:val="20"/>
      </w:rPr>
    </w:pPr>
    <w:r w:rsidRPr="004C5703">
      <w:rPr>
        <w:sz w:val="20"/>
        <w:szCs w:val="20"/>
      </w:rPr>
      <w:tab/>
      <w:t xml:space="preserve">                                                   </w:t>
    </w:r>
  </w:p>
  <w:p w:rsidR="00E960D0" w:rsidRPr="004C5703" w:rsidRDefault="00E960D0" w:rsidP="00E960D0">
    <w:pPr>
      <w:pStyle w:val="TMGbodytext"/>
      <w:tabs>
        <w:tab w:val="left" w:pos="9000"/>
      </w:tabs>
      <w:ind w:right="71"/>
      <w:rPr>
        <w:sz w:val="20"/>
        <w:szCs w:val="20"/>
      </w:rPr>
    </w:pPr>
    <w:r w:rsidRPr="004C5703">
      <w:rPr>
        <w:sz w:val="20"/>
        <w:szCs w:val="20"/>
      </w:rPr>
      <w:tab/>
    </w:r>
  </w:p>
  <w:p w:rsidR="00E960D0" w:rsidRPr="004C5703" w:rsidRDefault="00E960D0" w:rsidP="00E960D0">
    <w:pPr>
      <w:pStyle w:val="TMGbodytext"/>
      <w:rPr>
        <w:snapToGrid w:val="0"/>
        <w:sz w:val="20"/>
        <w:szCs w:val="20"/>
      </w:rPr>
    </w:pPr>
    <w:r w:rsidRPr="004C5703">
      <w:rPr>
        <w:sz w:val="20"/>
        <w:szCs w:val="20"/>
      </w:rPr>
      <w:t xml:space="preserve">Vol. 38   (2013)   br. </w:t>
    </w:r>
    <w:r>
      <w:rPr>
        <w:sz w:val="20"/>
        <w:szCs w:val="20"/>
      </w:rPr>
      <w:t>4</w:t>
    </w:r>
    <w:r w:rsidRPr="004C5703">
      <w:rPr>
        <w:sz w:val="20"/>
        <w:szCs w:val="20"/>
      </w:rPr>
      <w:t xml:space="preserve"> </w:t>
    </w:r>
    <w:r w:rsidRPr="004C5703">
      <w:rPr>
        <w:sz w:val="20"/>
        <w:szCs w:val="20"/>
      </w:rPr>
      <w:tab/>
      <w:t xml:space="preserve">  </w:t>
    </w:r>
    <w:r w:rsidRPr="004C5703">
      <w:rPr>
        <w:sz w:val="20"/>
        <w:szCs w:val="20"/>
      </w:rPr>
      <w:tab/>
    </w:r>
    <w:r w:rsidRPr="004C5703">
      <w:rPr>
        <w:sz w:val="20"/>
        <w:szCs w:val="20"/>
      </w:rPr>
      <w:tab/>
    </w:r>
    <w:r w:rsidRPr="004C5703">
      <w:rPr>
        <w:sz w:val="20"/>
        <w:szCs w:val="20"/>
      </w:rPr>
      <w:tab/>
    </w:r>
    <w:r w:rsidRPr="004C5703">
      <w:rPr>
        <w:sz w:val="20"/>
        <w:szCs w:val="20"/>
      </w:rPr>
      <w:tab/>
    </w:r>
    <w:r w:rsidRPr="004C5703">
      <w:rPr>
        <w:sz w:val="20"/>
        <w:szCs w:val="20"/>
      </w:rPr>
      <w:tab/>
      <w:t xml:space="preserve">                                           Originalni rad</w:t>
    </w:r>
  </w:p>
  <w:p w:rsidR="00E960D0" w:rsidRPr="004C5703" w:rsidRDefault="00E960D0" w:rsidP="00E960D0">
    <w:pPr>
      <w:pStyle w:val="TMGbodytext"/>
      <w:pBdr>
        <w:bottom w:val="single" w:sz="4" w:space="1" w:color="auto"/>
      </w:pBdr>
      <w:jc w:val="left"/>
      <w:rPr>
        <w:sz w:val="20"/>
        <w:szCs w:val="20"/>
      </w:rPr>
    </w:pPr>
  </w:p>
  <w:p w:rsidR="00190E6B" w:rsidRDefault="00190E6B" w:rsidP="00E960D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6FEC"/>
    <w:multiLevelType w:val="hybridMultilevel"/>
    <w:tmpl w:val="1730D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E6609"/>
    <w:multiLevelType w:val="hybridMultilevel"/>
    <w:tmpl w:val="8516263E"/>
    <w:lvl w:ilvl="0" w:tplc="7C3201BA">
      <w:start w:val="24"/>
      <w:numFmt w:val="decimal"/>
      <w:lvlText w:val="%1."/>
      <w:lvlJc w:val="left"/>
      <w:pPr>
        <w:ind w:left="1080" w:hanging="360"/>
      </w:pPr>
      <w:rPr>
        <w:rFonts w:ascii="VegaGreek" w:hAnsi="VegaGreek" w:cs="VegaGree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9D0CF8"/>
    <w:multiLevelType w:val="hybridMultilevel"/>
    <w:tmpl w:val="4EC0B4D6"/>
    <w:lvl w:ilvl="0" w:tplc="E4C889B4">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CA37280"/>
    <w:multiLevelType w:val="hybridMultilevel"/>
    <w:tmpl w:val="C47E97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D109AD"/>
    <w:multiLevelType w:val="hybridMultilevel"/>
    <w:tmpl w:val="B224B2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2A1192"/>
    <w:multiLevelType w:val="hybridMultilevel"/>
    <w:tmpl w:val="E416A460"/>
    <w:lvl w:ilvl="0" w:tplc="E6BC8196">
      <w:start w:val="2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AB117A"/>
    <w:multiLevelType w:val="hybridMultilevel"/>
    <w:tmpl w:val="3266D5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1C2C17"/>
    <w:multiLevelType w:val="hybridMultilevel"/>
    <w:tmpl w:val="31C0E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D2E09"/>
    <w:multiLevelType w:val="hybridMultilevel"/>
    <w:tmpl w:val="90EA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D4E49"/>
    <w:multiLevelType w:val="hybridMultilevel"/>
    <w:tmpl w:val="FDA0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6716A7"/>
    <w:multiLevelType w:val="hybridMultilevel"/>
    <w:tmpl w:val="84EE33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54A25B6"/>
    <w:multiLevelType w:val="hybridMultilevel"/>
    <w:tmpl w:val="E868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96E90"/>
    <w:multiLevelType w:val="hybridMultilevel"/>
    <w:tmpl w:val="D75C69D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89B61DB"/>
    <w:multiLevelType w:val="hybridMultilevel"/>
    <w:tmpl w:val="9054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075BD"/>
    <w:multiLevelType w:val="hybridMultilevel"/>
    <w:tmpl w:val="84EE335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3926C1B"/>
    <w:multiLevelType w:val="hybridMultilevel"/>
    <w:tmpl w:val="4DA052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24300C"/>
    <w:multiLevelType w:val="hybridMultilevel"/>
    <w:tmpl w:val="5914C22C"/>
    <w:lvl w:ilvl="0" w:tplc="91A4C328">
      <w:start w:val="2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1A561A"/>
    <w:multiLevelType w:val="hybridMultilevel"/>
    <w:tmpl w:val="F214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556FD7"/>
    <w:multiLevelType w:val="hybridMultilevel"/>
    <w:tmpl w:val="BA7A89E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4F4B3EA9"/>
    <w:multiLevelType w:val="hybridMultilevel"/>
    <w:tmpl w:val="10746E2E"/>
    <w:lvl w:ilvl="0" w:tplc="6CD80054">
      <w:start w:val="19"/>
      <w:numFmt w:val="decimal"/>
      <w:lvlText w:val="%1."/>
      <w:lvlJc w:val="left"/>
      <w:pPr>
        <w:ind w:left="720" w:hanging="360"/>
      </w:pPr>
      <w:rPr>
        <w:rFonts w:ascii="VegaGreek" w:hAnsi="VegaGreek" w:cs="VegaGreek"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C3045E"/>
    <w:multiLevelType w:val="multilevel"/>
    <w:tmpl w:val="51AA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5832BD"/>
    <w:multiLevelType w:val="hybridMultilevel"/>
    <w:tmpl w:val="09DC8E62"/>
    <w:lvl w:ilvl="0" w:tplc="B56EDE26">
      <w:start w:val="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2144C6"/>
    <w:multiLevelType w:val="hybridMultilevel"/>
    <w:tmpl w:val="BA1E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AD40E8"/>
    <w:multiLevelType w:val="hybridMultilevel"/>
    <w:tmpl w:val="661CC44A"/>
    <w:lvl w:ilvl="0" w:tplc="241A000F">
      <w:start w:val="1"/>
      <w:numFmt w:val="decimal"/>
      <w:lvlText w:val="%1."/>
      <w:lvlJc w:val="left"/>
      <w:pPr>
        <w:ind w:left="4472" w:hanging="360"/>
      </w:pPr>
    </w:lvl>
    <w:lvl w:ilvl="1" w:tplc="241A0019" w:tentative="1">
      <w:start w:val="1"/>
      <w:numFmt w:val="lowerLetter"/>
      <w:lvlText w:val="%2."/>
      <w:lvlJc w:val="left"/>
      <w:pPr>
        <w:ind w:left="5192" w:hanging="360"/>
      </w:pPr>
    </w:lvl>
    <w:lvl w:ilvl="2" w:tplc="241A001B" w:tentative="1">
      <w:start w:val="1"/>
      <w:numFmt w:val="lowerRoman"/>
      <w:lvlText w:val="%3."/>
      <w:lvlJc w:val="right"/>
      <w:pPr>
        <w:ind w:left="5912" w:hanging="180"/>
      </w:pPr>
    </w:lvl>
    <w:lvl w:ilvl="3" w:tplc="241A000F" w:tentative="1">
      <w:start w:val="1"/>
      <w:numFmt w:val="decimal"/>
      <w:lvlText w:val="%4."/>
      <w:lvlJc w:val="left"/>
      <w:pPr>
        <w:ind w:left="6632" w:hanging="360"/>
      </w:pPr>
    </w:lvl>
    <w:lvl w:ilvl="4" w:tplc="241A0019" w:tentative="1">
      <w:start w:val="1"/>
      <w:numFmt w:val="lowerLetter"/>
      <w:lvlText w:val="%5."/>
      <w:lvlJc w:val="left"/>
      <w:pPr>
        <w:ind w:left="7352" w:hanging="360"/>
      </w:pPr>
    </w:lvl>
    <w:lvl w:ilvl="5" w:tplc="241A001B" w:tentative="1">
      <w:start w:val="1"/>
      <w:numFmt w:val="lowerRoman"/>
      <w:lvlText w:val="%6."/>
      <w:lvlJc w:val="right"/>
      <w:pPr>
        <w:ind w:left="8072" w:hanging="180"/>
      </w:pPr>
    </w:lvl>
    <w:lvl w:ilvl="6" w:tplc="241A000F" w:tentative="1">
      <w:start w:val="1"/>
      <w:numFmt w:val="decimal"/>
      <w:lvlText w:val="%7."/>
      <w:lvlJc w:val="left"/>
      <w:pPr>
        <w:ind w:left="8792" w:hanging="360"/>
      </w:pPr>
    </w:lvl>
    <w:lvl w:ilvl="7" w:tplc="241A0019" w:tentative="1">
      <w:start w:val="1"/>
      <w:numFmt w:val="lowerLetter"/>
      <w:lvlText w:val="%8."/>
      <w:lvlJc w:val="left"/>
      <w:pPr>
        <w:ind w:left="9512" w:hanging="360"/>
      </w:pPr>
    </w:lvl>
    <w:lvl w:ilvl="8" w:tplc="241A001B" w:tentative="1">
      <w:start w:val="1"/>
      <w:numFmt w:val="lowerRoman"/>
      <w:lvlText w:val="%9."/>
      <w:lvlJc w:val="right"/>
      <w:pPr>
        <w:ind w:left="10232" w:hanging="180"/>
      </w:pPr>
    </w:lvl>
  </w:abstractNum>
  <w:abstractNum w:abstractNumId="24" w15:restartNumberingAfterBreak="0">
    <w:nsid w:val="6B351DE5"/>
    <w:multiLevelType w:val="hybridMultilevel"/>
    <w:tmpl w:val="13BA4D46"/>
    <w:lvl w:ilvl="0" w:tplc="9E7A528C">
      <w:start w:val="29"/>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D02F38"/>
    <w:multiLevelType w:val="hybridMultilevel"/>
    <w:tmpl w:val="0B32EA56"/>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6" w15:restartNumberingAfterBreak="0">
    <w:nsid w:val="7A4920A6"/>
    <w:multiLevelType w:val="hybridMultilevel"/>
    <w:tmpl w:val="A3FA2068"/>
    <w:lvl w:ilvl="0" w:tplc="BEC41AAC">
      <w:start w:val="1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F03DAB"/>
    <w:multiLevelType w:val="hybridMultilevel"/>
    <w:tmpl w:val="98428302"/>
    <w:lvl w:ilvl="0" w:tplc="9D1A743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2"/>
  </w:num>
  <w:num w:numId="3">
    <w:abstractNumId w:val="11"/>
  </w:num>
  <w:num w:numId="4">
    <w:abstractNumId w:val="17"/>
  </w:num>
  <w:num w:numId="5">
    <w:abstractNumId w:val="13"/>
  </w:num>
  <w:num w:numId="6">
    <w:abstractNumId w:val="19"/>
  </w:num>
  <w:num w:numId="7">
    <w:abstractNumId w:val="14"/>
  </w:num>
  <w:num w:numId="8">
    <w:abstractNumId w:val="26"/>
  </w:num>
  <w:num w:numId="9">
    <w:abstractNumId w:val="27"/>
  </w:num>
  <w:num w:numId="10">
    <w:abstractNumId w:val="1"/>
  </w:num>
  <w:num w:numId="11">
    <w:abstractNumId w:val="21"/>
  </w:num>
  <w:num w:numId="12">
    <w:abstractNumId w:val="16"/>
  </w:num>
  <w:num w:numId="13">
    <w:abstractNumId w:val="5"/>
  </w:num>
  <w:num w:numId="14">
    <w:abstractNumId w:val="24"/>
  </w:num>
  <w:num w:numId="15">
    <w:abstractNumId w:val="20"/>
  </w:num>
  <w:num w:numId="16">
    <w:abstractNumId w:val="23"/>
  </w:num>
  <w:num w:numId="17">
    <w:abstractNumId w:val="7"/>
  </w:num>
  <w:num w:numId="18">
    <w:abstractNumId w:val="9"/>
  </w:num>
  <w:num w:numId="19">
    <w:abstractNumId w:val="3"/>
  </w:num>
  <w:num w:numId="20">
    <w:abstractNumId w:val="6"/>
  </w:num>
  <w:num w:numId="21">
    <w:abstractNumId w:val="0"/>
  </w:num>
  <w:num w:numId="22">
    <w:abstractNumId w:val="8"/>
  </w:num>
  <w:num w:numId="23">
    <w:abstractNumId w:val="2"/>
  </w:num>
  <w:num w:numId="24">
    <w:abstractNumId w:val="4"/>
  </w:num>
  <w:num w:numId="25">
    <w:abstractNumId w:val="25"/>
  </w:num>
  <w:num w:numId="26">
    <w:abstractNumId w:val="12"/>
  </w:num>
  <w:num w:numId="27">
    <w:abstractNumId w:val="1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hyphenationZone w:val="357"/>
  <w:doNotHyphenateCaps/>
  <w:evenAndOddHeaders/>
  <w:characterSpacingControl w:val="doNotCompress"/>
  <w:hdrShapeDefaults>
    <o:shapedefaults v:ext="edit" spidmax="2051">
      <v:stroke weight=".25pt"/>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1E"/>
    <w:rsid w:val="00000A0B"/>
    <w:rsid w:val="00015D37"/>
    <w:rsid w:val="00021274"/>
    <w:rsid w:val="0002300E"/>
    <w:rsid w:val="00037094"/>
    <w:rsid w:val="0006264A"/>
    <w:rsid w:val="00085926"/>
    <w:rsid w:val="00091882"/>
    <w:rsid w:val="000944ED"/>
    <w:rsid w:val="000A2555"/>
    <w:rsid w:val="000B5AFE"/>
    <w:rsid w:val="000C6424"/>
    <w:rsid w:val="000D5720"/>
    <w:rsid w:val="000E7EA2"/>
    <w:rsid w:val="001308E4"/>
    <w:rsid w:val="0013798E"/>
    <w:rsid w:val="001477ED"/>
    <w:rsid w:val="001543D5"/>
    <w:rsid w:val="001613CE"/>
    <w:rsid w:val="0016669F"/>
    <w:rsid w:val="00174084"/>
    <w:rsid w:val="00190E6B"/>
    <w:rsid w:val="0019229D"/>
    <w:rsid w:val="00195756"/>
    <w:rsid w:val="00197334"/>
    <w:rsid w:val="001A34A3"/>
    <w:rsid w:val="001B0BA5"/>
    <w:rsid w:val="001C6C93"/>
    <w:rsid w:val="001D1D52"/>
    <w:rsid w:val="001D38A8"/>
    <w:rsid w:val="001E7F67"/>
    <w:rsid w:val="001F1CAC"/>
    <w:rsid w:val="001F549A"/>
    <w:rsid w:val="002102A7"/>
    <w:rsid w:val="00222B47"/>
    <w:rsid w:val="00231377"/>
    <w:rsid w:val="0023165C"/>
    <w:rsid w:val="00234038"/>
    <w:rsid w:val="002355BD"/>
    <w:rsid w:val="002448EF"/>
    <w:rsid w:val="0024651C"/>
    <w:rsid w:val="00255BD7"/>
    <w:rsid w:val="00273CAB"/>
    <w:rsid w:val="0028036C"/>
    <w:rsid w:val="00287E75"/>
    <w:rsid w:val="002934CB"/>
    <w:rsid w:val="0029403C"/>
    <w:rsid w:val="002A137B"/>
    <w:rsid w:val="002A3274"/>
    <w:rsid w:val="002A63AC"/>
    <w:rsid w:val="002A740B"/>
    <w:rsid w:val="002D3D0B"/>
    <w:rsid w:val="002D3DF8"/>
    <w:rsid w:val="002D4B38"/>
    <w:rsid w:val="002F03E7"/>
    <w:rsid w:val="00304629"/>
    <w:rsid w:val="003073C7"/>
    <w:rsid w:val="00311909"/>
    <w:rsid w:val="00314BF7"/>
    <w:rsid w:val="00372F41"/>
    <w:rsid w:val="0037654E"/>
    <w:rsid w:val="003A38F3"/>
    <w:rsid w:val="003B3956"/>
    <w:rsid w:val="003B5408"/>
    <w:rsid w:val="003B5BC0"/>
    <w:rsid w:val="003D0865"/>
    <w:rsid w:val="003E1A21"/>
    <w:rsid w:val="003E7D16"/>
    <w:rsid w:val="003F4DDF"/>
    <w:rsid w:val="003F5E63"/>
    <w:rsid w:val="00411F47"/>
    <w:rsid w:val="00417F65"/>
    <w:rsid w:val="004263CE"/>
    <w:rsid w:val="004369F1"/>
    <w:rsid w:val="00437ABE"/>
    <w:rsid w:val="00444B0B"/>
    <w:rsid w:val="00451AEA"/>
    <w:rsid w:val="0047668F"/>
    <w:rsid w:val="00483C7E"/>
    <w:rsid w:val="004945AA"/>
    <w:rsid w:val="00495DCD"/>
    <w:rsid w:val="004B31B8"/>
    <w:rsid w:val="004B5666"/>
    <w:rsid w:val="004C1AA6"/>
    <w:rsid w:val="004C48F5"/>
    <w:rsid w:val="004D162B"/>
    <w:rsid w:val="004E2090"/>
    <w:rsid w:val="004E7414"/>
    <w:rsid w:val="004F0AAE"/>
    <w:rsid w:val="00503498"/>
    <w:rsid w:val="005074E3"/>
    <w:rsid w:val="00515390"/>
    <w:rsid w:val="00532401"/>
    <w:rsid w:val="0053299E"/>
    <w:rsid w:val="005400DE"/>
    <w:rsid w:val="00597392"/>
    <w:rsid w:val="005A1250"/>
    <w:rsid w:val="005A2C8B"/>
    <w:rsid w:val="005B0526"/>
    <w:rsid w:val="005C4AD0"/>
    <w:rsid w:val="005C70FC"/>
    <w:rsid w:val="005D6BA1"/>
    <w:rsid w:val="005F2582"/>
    <w:rsid w:val="00607A90"/>
    <w:rsid w:val="006331CB"/>
    <w:rsid w:val="00640A83"/>
    <w:rsid w:val="00654570"/>
    <w:rsid w:val="00655CDF"/>
    <w:rsid w:val="00657A1E"/>
    <w:rsid w:val="00676F8F"/>
    <w:rsid w:val="00695FDF"/>
    <w:rsid w:val="006A1C4E"/>
    <w:rsid w:val="006C373B"/>
    <w:rsid w:val="006D0973"/>
    <w:rsid w:val="00700409"/>
    <w:rsid w:val="007109EA"/>
    <w:rsid w:val="00712E3D"/>
    <w:rsid w:val="00714B1A"/>
    <w:rsid w:val="00717024"/>
    <w:rsid w:val="00720DCB"/>
    <w:rsid w:val="00732F54"/>
    <w:rsid w:val="00744220"/>
    <w:rsid w:val="00776972"/>
    <w:rsid w:val="00777C0C"/>
    <w:rsid w:val="007977E0"/>
    <w:rsid w:val="00797811"/>
    <w:rsid w:val="007B3D63"/>
    <w:rsid w:val="007D14B6"/>
    <w:rsid w:val="007F04AF"/>
    <w:rsid w:val="007F4C7F"/>
    <w:rsid w:val="00803339"/>
    <w:rsid w:val="00814962"/>
    <w:rsid w:val="00814CD8"/>
    <w:rsid w:val="008366B9"/>
    <w:rsid w:val="0084092B"/>
    <w:rsid w:val="008527E0"/>
    <w:rsid w:val="00853C68"/>
    <w:rsid w:val="008549C9"/>
    <w:rsid w:val="0086715E"/>
    <w:rsid w:val="00873B0B"/>
    <w:rsid w:val="008742A4"/>
    <w:rsid w:val="0087559D"/>
    <w:rsid w:val="008766E4"/>
    <w:rsid w:val="00882640"/>
    <w:rsid w:val="0088683D"/>
    <w:rsid w:val="008953E5"/>
    <w:rsid w:val="008955A5"/>
    <w:rsid w:val="00895AAA"/>
    <w:rsid w:val="008977F7"/>
    <w:rsid w:val="008A7075"/>
    <w:rsid w:val="008B5A76"/>
    <w:rsid w:val="008C34F7"/>
    <w:rsid w:val="008C6000"/>
    <w:rsid w:val="008E2271"/>
    <w:rsid w:val="009257EF"/>
    <w:rsid w:val="00933F0D"/>
    <w:rsid w:val="009346DB"/>
    <w:rsid w:val="00941311"/>
    <w:rsid w:val="00942D81"/>
    <w:rsid w:val="009517C7"/>
    <w:rsid w:val="0095670C"/>
    <w:rsid w:val="00956FA7"/>
    <w:rsid w:val="00966C32"/>
    <w:rsid w:val="00966D3D"/>
    <w:rsid w:val="00984F18"/>
    <w:rsid w:val="00990DA8"/>
    <w:rsid w:val="009A1D04"/>
    <w:rsid w:val="009A6F66"/>
    <w:rsid w:val="009C56DD"/>
    <w:rsid w:val="009D0586"/>
    <w:rsid w:val="009D0EFC"/>
    <w:rsid w:val="009E6390"/>
    <w:rsid w:val="00A13B8F"/>
    <w:rsid w:val="00A279F3"/>
    <w:rsid w:val="00A30938"/>
    <w:rsid w:val="00A31CAA"/>
    <w:rsid w:val="00A41BBD"/>
    <w:rsid w:val="00A51826"/>
    <w:rsid w:val="00A52E96"/>
    <w:rsid w:val="00A5514D"/>
    <w:rsid w:val="00A662EA"/>
    <w:rsid w:val="00A73D9B"/>
    <w:rsid w:val="00A96C22"/>
    <w:rsid w:val="00AA0093"/>
    <w:rsid w:val="00AA4AC8"/>
    <w:rsid w:val="00AB0536"/>
    <w:rsid w:val="00AB5D56"/>
    <w:rsid w:val="00AD570C"/>
    <w:rsid w:val="00AE0E9E"/>
    <w:rsid w:val="00AF568F"/>
    <w:rsid w:val="00B059F6"/>
    <w:rsid w:val="00B20E78"/>
    <w:rsid w:val="00B218AF"/>
    <w:rsid w:val="00B21B13"/>
    <w:rsid w:val="00B23082"/>
    <w:rsid w:val="00B24991"/>
    <w:rsid w:val="00B34DFA"/>
    <w:rsid w:val="00B51563"/>
    <w:rsid w:val="00B578A0"/>
    <w:rsid w:val="00B605D3"/>
    <w:rsid w:val="00B60C00"/>
    <w:rsid w:val="00B629EC"/>
    <w:rsid w:val="00B64717"/>
    <w:rsid w:val="00B6568A"/>
    <w:rsid w:val="00B7096B"/>
    <w:rsid w:val="00BA45B8"/>
    <w:rsid w:val="00BA6A83"/>
    <w:rsid w:val="00BB1B84"/>
    <w:rsid w:val="00BB34EF"/>
    <w:rsid w:val="00BD291A"/>
    <w:rsid w:val="00BD5859"/>
    <w:rsid w:val="00BD59CD"/>
    <w:rsid w:val="00BD6FDB"/>
    <w:rsid w:val="00BF04C8"/>
    <w:rsid w:val="00BF6E8E"/>
    <w:rsid w:val="00C03A3B"/>
    <w:rsid w:val="00C23BE0"/>
    <w:rsid w:val="00C2627D"/>
    <w:rsid w:val="00C3779E"/>
    <w:rsid w:val="00C4491F"/>
    <w:rsid w:val="00C46038"/>
    <w:rsid w:val="00C515A3"/>
    <w:rsid w:val="00C531EF"/>
    <w:rsid w:val="00C55A26"/>
    <w:rsid w:val="00C93BC8"/>
    <w:rsid w:val="00C95B66"/>
    <w:rsid w:val="00CB5079"/>
    <w:rsid w:val="00CB690D"/>
    <w:rsid w:val="00CD2154"/>
    <w:rsid w:val="00CD2FFA"/>
    <w:rsid w:val="00CD5B39"/>
    <w:rsid w:val="00CF53DF"/>
    <w:rsid w:val="00D06C6B"/>
    <w:rsid w:val="00D14F8C"/>
    <w:rsid w:val="00D329CB"/>
    <w:rsid w:val="00D40865"/>
    <w:rsid w:val="00D44EDA"/>
    <w:rsid w:val="00D83225"/>
    <w:rsid w:val="00D84277"/>
    <w:rsid w:val="00D8428E"/>
    <w:rsid w:val="00D8509A"/>
    <w:rsid w:val="00D97EA7"/>
    <w:rsid w:val="00DA5739"/>
    <w:rsid w:val="00DD772D"/>
    <w:rsid w:val="00DE64DB"/>
    <w:rsid w:val="00DF589C"/>
    <w:rsid w:val="00E22AFC"/>
    <w:rsid w:val="00E56786"/>
    <w:rsid w:val="00E644E6"/>
    <w:rsid w:val="00E718AD"/>
    <w:rsid w:val="00E71BF8"/>
    <w:rsid w:val="00E742E3"/>
    <w:rsid w:val="00E95937"/>
    <w:rsid w:val="00E960D0"/>
    <w:rsid w:val="00E9677B"/>
    <w:rsid w:val="00EA1654"/>
    <w:rsid w:val="00EA6799"/>
    <w:rsid w:val="00EB0F06"/>
    <w:rsid w:val="00EC4F8D"/>
    <w:rsid w:val="00EC5633"/>
    <w:rsid w:val="00EC7B38"/>
    <w:rsid w:val="00ED5842"/>
    <w:rsid w:val="00EF3409"/>
    <w:rsid w:val="00EF5D2A"/>
    <w:rsid w:val="00F07920"/>
    <w:rsid w:val="00F11409"/>
    <w:rsid w:val="00F1349A"/>
    <w:rsid w:val="00F23E76"/>
    <w:rsid w:val="00F27775"/>
    <w:rsid w:val="00F60B63"/>
    <w:rsid w:val="00F616F3"/>
    <w:rsid w:val="00F70989"/>
    <w:rsid w:val="00F73C7F"/>
    <w:rsid w:val="00F8238A"/>
    <w:rsid w:val="00F83E0B"/>
    <w:rsid w:val="00F97961"/>
    <w:rsid w:val="00FA1D16"/>
    <w:rsid w:val="00FB7CEC"/>
    <w:rsid w:val="00FD51D3"/>
    <w:rsid w:val="00FE5B78"/>
    <w:rsid w:val="00FF3709"/>
    <w:rsid w:val="00FF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v:stroke weight=".25pt"/>
    </o:shapedefaults>
    <o:shapelayout v:ext="edit">
      <o:idmap v:ext="edit" data="1"/>
    </o:shapelayout>
  </w:shapeDefaults>
  <w:decimalSymbol w:val="."/>
  <w:listSeparator w:val=","/>
  <w15:chartTrackingRefBased/>
  <w15:docId w15:val="{DB922DF6-7449-4F12-AD1E-8CB2ED8C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33"/>
    <w:pPr>
      <w:spacing w:after="200" w:line="276" w:lineRule="auto"/>
    </w:pPr>
    <w:rPr>
      <w:sz w:val="22"/>
      <w:szCs w:val="22"/>
    </w:rPr>
  </w:style>
  <w:style w:type="paragraph" w:styleId="Heading1">
    <w:name w:val="heading 1"/>
    <w:basedOn w:val="Normal"/>
    <w:link w:val="Heading1Char"/>
    <w:uiPriority w:val="9"/>
    <w:qFormat/>
    <w:rsid w:val="00037094"/>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paragraph" w:styleId="Heading2">
    <w:name w:val="heading 2"/>
    <w:basedOn w:val="Normal"/>
    <w:link w:val="Heading2Char"/>
    <w:uiPriority w:val="9"/>
    <w:qFormat/>
    <w:rsid w:val="00037094"/>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next w:val="Normal"/>
    <w:rsid w:val="00DA5739"/>
    <w:pPr>
      <w:spacing w:after="160" w:line="240" w:lineRule="exact"/>
    </w:pPr>
    <w:rPr>
      <w:rFonts w:ascii="Tahoma" w:eastAsia="Times New Roman" w:hAnsi="Tahoma" w:cs="Tahoma"/>
      <w:sz w:val="24"/>
      <w:szCs w:val="24"/>
      <w:lang w:val="en-GB"/>
    </w:rPr>
  </w:style>
  <w:style w:type="paragraph" w:styleId="BalloonText">
    <w:name w:val="Balloon Text"/>
    <w:basedOn w:val="Normal"/>
    <w:link w:val="BalloonTextChar"/>
    <w:uiPriority w:val="99"/>
    <w:semiHidden/>
    <w:unhideWhenUsed/>
    <w:rsid w:val="00714B1A"/>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714B1A"/>
    <w:rPr>
      <w:rFonts w:ascii="Tahoma" w:hAnsi="Tahoma" w:cs="Tahoma"/>
      <w:sz w:val="16"/>
      <w:szCs w:val="16"/>
    </w:rPr>
  </w:style>
  <w:style w:type="table" w:styleId="TableGrid">
    <w:name w:val="Table Grid"/>
    <w:basedOn w:val="TableNormal"/>
    <w:uiPriority w:val="59"/>
    <w:rsid w:val="00777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1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409"/>
  </w:style>
  <w:style w:type="paragraph" w:styleId="Footer">
    <w:name w:val="footer"/>
    <w:basedOn w:val="Normal"/>
    <w:link w:val="FooterChar"/>
    <w:uiPriority w:val="99"/>
    <w:unhideWhenUsed/>
    <w:rsid w:val="00F11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409"/>
  </w:style>
  <w:style w:type="character" w:styleId="PageNumber">
    <w:name w:val="page number"/>
    <w:rsid w:val="002A137B"/>
  </w:style>
  <w:style w:type="paragraph" w:styleId="BodyText">
    <w:name w:val="Body Text"/>
    <w:basedOn w:val="Normal"/>
    <w:link w:val="BodyTextChar"/>
    <w:rsid w:val="00712E3D"/>
    <w:pPr>
      <w:spacing w:after="0" w:line="240" w:lineRule="auto"/>
      <w:jc w:val="both"/>
    </w:pPr>
    <w:rPr>
      <w:rFonts w:ascii="Times New Roman" w:eastAsia="Times New Roman" w:hAnsi="Times New Roman" w:cs="Times New Roman"/>
      <w:b/>
      <w:sz w:val="28"/>
      <w:szCs w:val="20"/>
      <w:lang w:val="sl-SI" w:eastAsia="x-none"/>
    </w:rPr>
  </w:style>
  <w:style w:type="character" w:customStyle="1" w:styleId="BodyTextChar">
    <w:name w:val="Body Text Char"/>
    <w:link w:val="BodyText"/>
    <w:rsid w:val="00712E3D"/>
    <w:rPr>
      <w:rFonts w:ascii="Times New Roman" w:eastAsia="Times New Roman" w:hAnsi="Times New Roman" w:cs="Times New Roman"/>
      <w:b/>
      <w:sz w:val="28"/>
      <w:lang w:val="sl-SI"/>
    </w:rPr>
  </w:style>
  <w:style w:type="character" w:styleId="CommentReference">
    <w:name w:val="annotation reference"/>
    <w:uiPriority w:val="99"/>
    <w:semiHidden/>
    <w:unhideWhenUsed/>
    <w:rsid w:val="00C531EF"/>
    <w:rPr>
      <w:sz w:val="16"/>
      <w:szCs w:val="16"/>
    </w:rPr>
  </w:style>
  <w:style w:type="paragraph" w:styleId="CommentText">
    <w:name w:val="annotation text"/>
    <w:basedOn w:val="Normal"/>
    <w:link w:val="CommentTextChar"/>
    <w:uiPriority w:val="99"/>
    <w:semiHidden/>
    <w:unhideWhenUsed/>
    <w:rsid w:val="00C531EF"/>
    <w:rPr>
      <w:sz w:val="20"/>
      <w:szCs w:val="20"/>
    </w:rPr>
  </w:style>
  <w:style w:type="character" w:customStyle="1" w:styleId="CommentTextChar">
    <w:name w:val="Comment Text Char"/>
    <w:basedOn w:val="DefaultParagraphFont"/>
    <w:link w:val="CommentText"/>
    <w:uiPriority w:val="99"/>
    <w:semiHidden/>
    <w:rsid w:val="00C531EF"/>
  </w:style>
  <w:style w:type="paragraph" w:styleId="CommentSubject">
    <w:name w:val="annotation subject"/>
    <w:basedOn w:val="CommentText"/>
    <w:next w:val="CommentText"/>
    <w:link w:val="CommentSubjectChar"/>
    <w:uiPriority w:val="99"/>
    <w:semiHidden/>
    <w:unhideWhenUsed/>
    <w:rsid w:val="00C531EF"/>
    <w:rPr>
      <w:rFonts w:cs="Times New Roman"/>
      <w:b/>
      <w:bCs/>
      <w:lang w:val="x-none" w:eastAsia="x-none"/>
    </w:rPr>
  </w:style>
  <w:style w:type="character" w:customStyle="1" w:styleId="CommentSubjectChar">
    <w:name w:val="Comment Subject Char"/>
    <w:link w:val="CommentSubject"/>
    <w:uiPriority w:val="99"/>
    <w:semiHidden/>
    <w:rsid w:val="00C531EF"/>
    <w:rPr>
      <w:b/>
      <w:bCs/>
    </w:rPr>
  </w:style>
  <w:style w:type="paragraph" w:customStyle="1" w:styleId="Default">
    <w:name w:val="Default"/>
    <w:rsid w:val="00882640"/>
    <w:pPr>
      <w:widowControl w:val="0"/>
      <w:autoSpaceDE w:val="0"/>
      <w:autoSpaceDN w:val="0"/>
      <w:adjustRightInd w:val="0"/>
    </w:pPr>
    <w:rPr>
      <w:rFonts w:ascii="VegaGreek" w:eastAsia="Times New Roman" w:hAnsi="VegaGreek" w:cs="VegaGreek"/>
      <w:color w:val="000000"/>
      <w:sz w:val="24"/>
      <w:szCs w:val="24"/>
    </w:rPr>
  </w:style>
  <w:style w:type="character" w:styleId="Hyperlink">
    <w:name w:val="Hyperlink"/>
    <w:uiPriority w:val="99"/>
    <w:unhideWhenUsed/>
    <w:rsid w:val="003B5408"/>
    <w:rPr>
      <w:color w:val="0000FF"/>
      <w:u w:val="single"/>
    </w:rPr>
  </w:style>
  <w:style w:type="character" w:customStyle="1" w:styleId="Heading1Char">
    <w:name w:val="Heading 1 Char"/>
    <w:link w:val="Heading1"/>
    <w:uiPriority w:val="9"/>
    <w:rsid w:val="00037094"/>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037094"/>
    <w:rPr>
      <w:rFonts w:ascii="Times New Roman" w:eastAsia="Times New Roman" w:hAnsi="Times New Roman" w:cs="Times New Roman"/>
      <w:b/>
      <w:bCs/>
      <w:sz w:val="36"/>
      <w:szCs w:val="36"/>
    </w:rPr>
  </w:style>
  <w:style w:type="character" w:customStyle="1" w:styleId="maintitle">
    <w:name w:val="maintitle"/>
    <w:rsid w:val="00037094"/>
  </w:style>
  <w:style w:type="character" w:customStyle="1" w:styleId="apple-converted-space">
    <w:name w:val="apple-converted-space"/>
    <w:rsid w:val="00037094"/>
  </w:style>
  <w:style w:type="paragraph" w:styleId="NormalWeb">
    <w:name w:val="Normal (Web)"/>
    <w:basedOn w:val="Normal"/>
    <w:uiPriority w:val="99"/>
    <w:semiHidden/>
    <w:unhideWhenUsed/>
    <w:rsid w:val="0003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tegory">
    <w:name w:val="articlecategory"/>
    <w:basedOn w:val="Normal"/>
    <w:rsid w:val="000370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details">
    <w:name w:val="articledetails"/>
    <w:basedOn w:val="Normal"/>
    <w:rsid w:val="0003709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448EF"/>
    <w:rPr>
      <w:rFonts w:cs="Times New Roman"/>
      <w:sz w:val="22"/>
      <w:szCs w:val="22"/>
    </w:rPr>
  </w:style>
  <w:style w:type="paragraph" w:customStyle="1" w:styleId="TMGbodytext">
    <w:name w:val="TMG_bodytext"/>
    <w:basedOn w:val="Normal"/>
    <w:link w:val="TMGbodytextChar"/>
    <w:rsid w:val="00E960D0"/>
    <w:pPr>
      <w:spacing w:after="0" w:line="240" w:lineRule="auto"/>
      <w:jc w:val="both"/>
    </w:pPr>
    <w:rPr>
      <w:rFonts w:ascii="Times New Roman" w:eastAsia="Times New Roman" w:hAnsi="Times New Roman" w:cs="Times New Roman"/>
      <w:sz w:val="24"/>
      <w:szCs w:val="24"/>
      <w:lang w:val="en-AU"/>
    </w:rPr>
  </w:style>
  <w:style w:type="character" w:customStyle="1" w:styleId="TMGbodytextChar">
    <w:name w:val="TMG_bodytext Char"/>
    <w:link w:val="TMGbodytext"/>
    <w:locked/>
    <w:rsid w:val="00E960D0"/>
    <w:rPr>
      <w:rFonts w:ascii="Times New Roman" w:eastAsia="Times New Roman" w:hAnsi="Times New Roman" w:cs="Times New Roman"/>
      <w:sz w:val="24"/>
      <w:szCs w:val="24"/>
      <w:lang w:val="en-AU" w:eastAsia="en-US"/>
    </w:rPr>
  </w:style>
  <w:style w:type="character" w:customStyle="1" w:styleId="NoSpacingChar">
    <w:name w:val="No Spacing Char"/>
    <w:link w:val="NoSpacing"/>
    <w:uiPriority w:val="1"/>
    <w:rsid w:val="00E960D0"/>
    <w:rPr>
      <w:rFonts w:cs="Times New Roman"/>
      <w:sz w:val="22"/>
      <w:szCs w:val="22"/>
      <w:lang w:val="en-US" w:eastAsia="en-US" w:bidi="ar-SA"/>
    </w:rPr>
  </w:style>
  <w:style w:type="character" w:styleId="Strong">
    <w:name w:val="Strong"/>
    <w:uiPriority w:val="22"/>
    <w:qFormat/>
    <w:rsid w:val="00437ABE"/>
    <w:rPr>
      <w:b/>
      <w:bCs/>
    </w:rPr>
  </w:style>
  <w:style w:type="paragraph" w:styleId="ListParagraph">
    <w:name w:val="List Paragraph"/>
    <w:basedOn w:val="Normal"/>
    <w:uiPriority w:val="34"/>
    <w:qFormat/>
    <w:rsid w:val="00437ABE"/>
    <w:pPr>
      <w:spacing w:after="0" w:line="240" w:lineRule="auto"/>
      <w:ind w:left="720"/>
    </w:pPr>
    <w:rPr>
      <w:rFonts w:ascii="Times New Roman" w:hAnsi="Times New Roman" w:cs="Times New Roman"/>
      <w:sz w:val="24"/>
      <w:szCs w:val="24"/>
    </w:rPr>
  </w:style>
  <w:style w:type="paragraph" w:customStyle="1" w:styleId="Nospacing0">
    <w:name w:val="No spacing"/>
    <w:basedOn w:val="Normal"/>
    <w:rsid w:val="00437AB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594073">
      <w:bodyDiv w:val="1"/>
      <w:marLeft w:val="0"/>
      <w:marRight w:val="0"/>
      <w:marTop w:val="0"/>
      <w:marBottom w:val="0"/>
      <w:divBdr>
        <w:top w:val="none" w:sz="0" w:space="0" w:color="auto"/>
        <w:left w:val="none" w:sz="0" w:space="0" w:color="auto"/>
        <w:bottom w:val="none" w:sz="0" w:space="0" w:color="auto"/>
        <w:right w:val="none" w:sz="0" w:space="0" w:color="auto"/>
      </w:divBdr>
    </w:div>
    <w:div w:id="1242914322">
      <w:bodyDiv w:val="1"/>
      <w:marLeft w:val="0"/>
      <w:marRight w:val="0"/>
      <w:marTop w:val="0"/>
      <w:marBottom w:val="0"/>
      <w:divBdr>
        <w:top w:val="none" w:sz="0" w:space="0" w:color="auto"/>
        <w:left w:val="none" w:sz="0" w:space="0" w:color="auto"/>
        <w:bottom w:val="none" w:sz="0" w:space="0" w:color="auto"/>
        <w:right w:val="none" w:sz="0" w:space="0" w:color="auto"/>
      </w:divBdr>
    </w:div>
    <w:div w:id="2137408627">
      <w:bodyDiv w:val="1"/>
      <w:marLeft w:val="0"/>
      <w:marRight w:val="0"/>
      <w:marTop w:val="0"/>
      <w:marBottom w:val="0"/>
      <w:divBdr>
        <w:top w:val="none" w:sz="0" w:space="0" w:color="auto"/>
        <w:left w:val="none" w:sz="0" w:space="0" w:color="auto"/>
        <w:bottom w:val="none" w:sz="0" w:space="0" w:color="auto"/>
        <w:right w:val="none" w:sz="0" w:space="0" w:color="auto"/>
      </w:divBdr>
      <w:divsChild>
        <w:div w:id="421266232">
          <w:marLeft w:val="0"/>
          <w:marRight w:val="0"/>
          <w:marTop w:val="120"/>
          <w:marBottom w:val="0"/>
          <w:divBdr>
            <w:top w:val="none" w:sz="0" w:space="0" w:color="auto"/>
            <w:left w:val="none" w:sz="0" w:space="0" w:color="auto"/>
            <w:bottom w:val="none" w:sz="0" w:space="0" w:color="auto"/>
            <w:right w:val="none" w:sz="0" w:space="0" w:color="auto"/>
          </w:divBdr>
        </w:div>
        <w:div w:id="1157840256">
          <w:marLeft w:val="240"/>
          <w:marRight w:val="0"/>
          <w:marTop w:val="288"/>
          <w:marBottom w:val="0"/>
          <w:divBdr>
            <w:top w:val="single" w:sz="18" w:space="6" w:color="E1E9EB"/>
            <w:left w:val="none" w:sz="0" w:space="0" w:color="auto"/>
            <w:bottom w:val="none" w:sz="0" w:space="0" w:color="auto"/>
            <w:right w:val="none" w:sz="0" w:space="0" w:color="auto"/>
          </w:divBdr>
          <w:divsChild>
            <w:div w:id="95827518">
              <w:marLeft w:val="0"/>
              <w:marRight w:val="240"/>
              <w:marTop w:val="120"/>
              <w:marBottom w:val="0"/>
              <w:divBdr>
                <w:top w:val="none" w:sz="0" w:space="0" w:color="auto"/>
                <w:left w:val="none" w:sz="0" w:space="0" w:color="auto"/>
                <w:bottom w:val="none" w:sz="0" w:space="0" w:color="auto"/>
                <w:right w:val="none" w:sz="0" w:space="0" w:color="auto"/>
              </w:divBdr>
              <w:divsChild>
                <w:div w:id="2051687175">
                  <w:marLeft w:val="75"/>
                  <w:marRight w:val="0"/>
                  <w:marTop w:val="75"/>
                  <w:marBottom w:val="360"/>
                  <w:divBdr>
                    <w:top w:val="none" w:sz="0" w:space="0" w:color="auto"/>
                    <w:left w:val="none" w:sz="0" w:space="0" w:color="auto"/>
                    <w:bottom w:val="none" w:sz="0" w:space="0" w:color="auto"/>
                    <w:right w:val="none" w:sz="0" w:space="0" w:color="auto"/>
                  </w:divBdr>
                </w:div>
              </w:divsChild>
            </w:div>
            <w:div w:id="1075740252">
              <w:marLeft w:val="0"/>
              <w:marRight w:val="0"/>
              <w:marTop w:val="120"/>
              <w:marBottom w:val="0"/>
              <w:divBdr>
                <w:top w:val="none" w:sz="0" w:space="0" w:color="auto"/>
                <w:left w:val="none" w:sz="0" w:space="0" w:color="auto"/>
                <w:bottom w:val="none" w:sz="0" w:space="0" w:color="auto"/>
                <w:right w:val="none" w:sz="0" w:space="0" w:color="auto"/>
              </w:divBdr>
              <w:divsChild>
                <w:div w:id="59837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3044142">
          <w:marLeft w:val="0"/>
          <w:marRight w:val="0"/>
          <w:marTop w:val="0"/>
          <w:marBottom w:val="0"/>
          <w:divBdr>
            <w:top w:val="single" w:sz="18" w:space="6" w:color="E1E9EB"/>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149E7-6153-4296-84A4-AAFA6435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POL, STAROST, PORODIČNA ANAMNEZA, KLINIČKA SLIKA I OFTALMOPATIJA KAO PREDIKTORI ISHODA MEDIKAMENTNE TIROPSUPRESIVNE TERAPIJE KOD PACIJENATA SA GREJVSOVOM BOLEŠĆU</vt:lpstr>
    </vt:vector>
  </TitlesOfParts>
  <Company>Hewlett-Packard</Company>
  <LinksUpToDate>false</LinksUpToDate>
  <CharactersWithSpaces>11023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STAROST, PORODIČNA ANAMNEZA, KLINIČKA SLIKA I OFTALMOPATIJA KAO PREDIKTORI ISHODA MEDIKAMENTNE TIROPSUPRESIVNE TERAPIJE KOD PACIJENATA SA GREJVSOVOM BOLEŠĆU</dc:title>
  <dc:subject/>
  <dc:creator>Aleksic</dc:creator>
  <cp:keywords/>
  <cp:lastModifiedBy>difero</cp:lastModifiedBy>
  <cp:revision>2</cp:revision>
  <cp:lastPrinted>2015-08-18T14:16:00Z</cp:lastPrinted>
  <dcterms:created xsi:type="dcterms:W3CDTF">2015-08-24T18:28:00Z</dcterms:created>
  <dcterms:modified xsi:type="dcterms:W3CDTF">2015-08-24T18:28:00Z</dcterms:modified>
</cp:coreProperties>
</file>